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8417D4" w14:textId="77777777" w:rsidR="00F62C8B" w:rsidRPr="002C1A46" w:rsidRDefault="000F3A41" w:rsidP="004C531E">
      <w:pPr>
        <w:pStyle w:val="RSCM01ReceivedAccepted"/>
      </w:pPr>
      <w:r w:rsidRPr="002C1A46">
        <mc:AlternateContent>
          <mc:Choice Requires="wps">
            <w:drawing>
              <wp:anchor distT="180340" distB="0" distL="114300" distR="114300" simplePos="0" relativeHeight="251588608" behindDoc="1" locked="1" layoutInCell="0" allowOverlap="0" wp14:anchorId="5B54B28E" wp14:editId="6C09952B">
                <wp:simplePos x="0" y="0"/>
                <wp:positionH relativeFrom="column">
                  <wp:posOffset>635</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14:paraId="07A6C6F7" w14:textId="4AA1C3D4" w:rsidR="007D08CB" w:rsidRPr="00EE48AB" w:rsidRDefault="007D08CB" w:rsidP="007D08CB">
                            <w:pPr>
                              <w:pStyle w:val="RSCF01FootnoteAuthorAddress"/>
                              <w:rPr>
                                <w:rFonts w:ascii="Times New Roman" w:hAnsi="Times New Roman"/>
                              </w:rPr>
                            </w:pPr>
                            <w:proofErr w:type="spellStart"/>
                            <w:r w:rsidRPr="00EE48AB">
                              <w:rPr>
                                <w:rFonts w:ascii="Times New Roman" w:hAnsi="Times New Roman"/>
                              </w:rPr>
                              <w:t>Center</w:t>
                            </w:r>
                            <w:proofErr w:type="spellEnd"/>
                            <w:r w:rsidRPr="00EE48AB">
                              <w:rPr>
                                <w:rFonts w:ascii="Times New Roman" w:hAnsi="Times New Roman"/>
                              </w:rPr>
                              <w:t xml:space="preserve"> for Basic Research on Materials, National Institute for Materials Science, </w:t>
                            </w:r>
                            <w:proofErr w:type="spellStart"/>
                            <w:r w:rsidRPr="00EE48AB">
                              <w:rPr>
                                <w:rFonts w:ascii="Times New Roman" w:hAnsi="Times New Roman"/>
                              </w:rPr>
                              <w:t>Sengen</w:t>
                            </w:r>
                            <w:proofErr w:type="spellEnd"/>
                            <w:r w:rsidRPr="00EE48AB">
                              <w:rPr>
                                <w:rFonts w:ascii="Times New Roman" w:hAnsi="Times New Roman"/>
                              </w:rPr>
                              <w:t xml:space="preserve"> 1-2-1, Tsukuba, Ibaraki 305-0047, Japan</w:t>
                            </w:r>
                            <w:r w:rsidR="008C682F" w:rsidRPr="00EE48AB">
                              <w:rPr>
                                <w:rFonts w:ascii="Times New Roman" w:hAnsi="Times New Roman"/>
                              </w:rPr>
                              <w:t>.</w:t>
                            </w:r>
                            <w:r w:rsidR="00823B02">
                              <w:rPr>
                                <w:rFonts w:ascii="Times New Roman" w:hAnsi="Times New Roman"/>
                              </w:rPr>
                              <w:t xml:space="preserve"> </w:t>
                            </w:r>
                            <w:r w:rsidRPr="00EE48AB">
                              <w:rPr>
                                <w:rFonts w:ascii="Times New Roman" w:hAnsi="Times New Roman"/>
                              </w:rPr>
                              <w:t>E-mail: ONODERA.Yohei@nims.go.jp</w:t>
                            </w:r>
                          </w:p>
                          <w:p w14:paraId="5591C28F" w14:textId="6CA15917" w:rsidR="00126027" w:rsidRPr="00EE48AB" w:rsidRDefault="009B299B" w:rsidP="00C405FD">
                            <w:pPr>
                              <w:pStyle w:val="RSCF01FootnoteAuthorAddress"/>
                              <w:rPr>
                                <w:rFonts w:ascii="Times New Roman" w:hAnsi="Times New Roman"/>
                              </w:rPr>
                            </w:pPr>
                            <w:r w:rsidRPr="009B299B">
                              <w:rPr>
                                <w:rFonts w:ascii="Times New Roman" w:hAnsi="Times New Roman"/>
                              </w:rPr>
                              <w:t xml:space="preserve">Department of Materials and Chemistry, National Institute of Advanced Industrial Science and Technology, 1-8-31 </w:t>
                            </w:r>
                            <w:proofErr w:type="spellStart"/>
                            <w:r w:rsidRPr="009B299B">
                              <w:rPr>
                                <w:rFonts w:ascii="Times New Roman" w:hAnsi="Times New Roman"/>
                              </w:rPr>
                              <w:t>Midorigaoka</w:t>
                            </w:r>
                            <w:proofErr w:type="spellEnd"/>
                            <w:r w:rsidRPr="009B299B">
                              <w:rPr>
                                <w:rFonts w:ascii="Times New Roman" w:hAnsi="Times New Roman"/>
                              </w:rPr>
                              <w:t>, Ikeda, Osaka 563-8577, Japan</w:t>
                            </w:r>
                          </w:p>
                          <w:p w14:paraId="71856912" w14:textId="4F4AC038" w:rsidR="00C405FD" w:rsidRPr="00823B02" w:rsidRDefault="00C405FD" w:rsidP="009B299B">
                            <w:pPr>
                              <w:pStyle w:val="RSCF01FootnoteAuthorAddress"/>
                              <w:numPr>
                                <w:ilvl w:val="0"/>
                                <w:numId w:val="0"/>
                              </w:numPr>
                              <w:rPr>
                                <w:rFonts w:ascii="Times New Roman" w:hAnsi="Times New Roman"/>
                              </w:rPr>
                            </w:pPr>
                          </w:p>
                        </w:txbxContent>
                      </wps:txbx>
                      <wps:bodyPr rot="0" vert="horz" wrap="square" lIns="0" tIns="36000" rIns="0" bIns="36000" anchor="b" anchorCtr="0">
                        <a:spAutoFit/>
                      </wps:bodyPr>
                    </wps:wsp>
                  </a:graphicData>
                </a:graphic>
                <wp14:sizeRelH relativeFrom="margin">
                  <wp14:pctWidth>0</wp14:pctWidth>
                </wp14:sizeRelH>
                <wp14:sizeRelV relativeFrom="margin">
                  <wp14:pctHeight>0</wp14:pctHeight>
                </wp14:sizeRelV>
              </wp:anchor>
            </w:drawing>
          </mc:Choice>
          <mc:Fallback>
            <w:pict>
              <v:shapetype w14:anchorId="5B54B28E" id="_x0000_t202" coordsize="21600,21600" o:spt="202" path="m,l,21600r21600,l21600,xe">
                <v:stroke joinstyle="miter"/>
                <v:path gradientshapeok="t" o:connecttype="rect"/>
              </v:shapetype>
              <v:shape id="Text Box 2" o:spid="_x0000_s1026" type="#_x0000_t202" style="position:absolute;margin-left:.05pt;margin-top:0;width:248.75pt;height:128.2pt;z-index:-251727872;visibility:visible;mso-wrap-style:square;mso-width-percent:0;mso-height-percent:0;mso-wrap-distance-left:9pt;mso-wrap-distance-top:14.2pt;mso-wrap-distance-right:9pt;mso-wrap-distance-bottom:0;mso-position-horizontal:absolute;mso-position-horizontal-relative:text;mso-position-vertical:bottom;mso-position-vertical-relative:margin;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" o:allowincell="f" o:allowoverlap="f" stroked="f">
                <o:lock v:ext="edit" aspectratio="t"/>
                <v:textbox style="mso-fit-shape-to-text:t" inset="0,1mm,0,1mm">
                  <w:txbxContent>
                    <w:p w14:paraId="07A6C6F7" w14:textId="4AA1C3D4" w:rsidR="007D08CB" w:rsidRPr="00EE48AB" w:rsidRDefault="007D08CB" w:rsidP="007D08CB">
                      <w:pPr>
                        <w:pStyle w:val="RSCF01FootnoteAuthorAddress"/>
                        <w:rPr>
                          <w:rFonts w:ascii="Times New Roman" w:hAnsi="Times New Roman"/>
                        </w:rPr>
                      </w:pPr>
                      <w:proofErr w:type="spellStart"/>
                      <w:r w:rsidRPr="00EE48AB">
                        <w:rPr>
                          <w:rFonts w:ascii="Times New Roman" w:hAnsi="Times New Roman"/>
                        </w:rPr>
                        <w:t>Center</w:t>
                      </w:r>
                      <w:proofErr w:type="spellEnd"/>
                      <w:r w:rsidRPr="00EE48AB">
                        <w:rPr>
                          <w:rFonts w:ascii="Times New Roman" w:hAnsi="Times New Roman"/>
                        </w:rPr>
                        <w:t xml:space="preserve"> for Basic Research on Materials, National Institute for Materials Science, </w:t>
                      </w:r>
                      <w:proofErr w:type="spellStart"/>
                      <w:r w:rsidRPr="00EE48AB">
                        <w:rPr>
                          <w:rFonts w:ascii="Times New Roman" w:hAnsi="Times New Roman"/>
                        </w:rPr>
                        <w:t>Sengen</w:t>
                      </w:r>
                      <w:proofErr w:type="spellEnd"/>
                      <w:r w:rsidRPr="00EE48AB">
                        <w:rPr>
                          <w:rFonts w:ascii="Times New Roman" w:hAnsi="Times New Roman"/>
                        </w:rPr>
                        <w:t xml:space="preserve"> 1-2-1, Tsukuba, Ibaraki 305-0047, Japan</w:t>
                      </w:r>
                      <w:r w:rsidR="008C682F" w:rsidRPr="00EE48AB">
                        <w:rPr>
                          <w:rFonts w:ascii="Times New Roman" w:hAnsi="Times New Roman"/>
                        </w:rPr>
                        <w:t>.</w:t>
                      </w:r>
                      <w:r w:rsidR="00823B02">
                        <w:rPr>
                          <w:rFonts w:ascii="Times New Roman" w:hAnsi="Times New Roman"/>
                        </w:rPr>
                        <w:t xml:space="preserve"> </w:t>
                      </w:r>
                      <w:r w:rsidRPr="00EE48AB">
                        <w:rPr>
                          <w:rFonts w:ascii="Times New Roman" w:hAnsi="Times New Roman"/>
                        </w:rPr>
                        <w:t>E-mail: ONODERA.Yohei@nims.go.jp</w:t>
                      </w:r>
                    </w:p>
                    <w:p w14:paraId="5591C28F" w14:textId="6CA15917" w:rsidR="00126027" w:rsidRPr="00EE48AB" w:rsidRDefault="009B299B" w:rsidP="00C405FD">
                      <w:pPr>
                        <w:pStyle w:val="RSCF01FootnoteAuthorAddress"/>
                        <w:rPr>
                          <w:rFonts w:ascii="Times New Roman" w:hAnsi="Times New Roman"/>
                        </w:rPr>
                      </w:pPr>
                      <w:r w:rsidRPr="009B299B">
                        <w:rPr>
                          <w:rFonts w:ascii="Times New Roman" w:hAnsi="Times New Roman"/>
                        </w:rPr>
                        <w:t>Department of Materials and Chemistry, National Institute of Advanced Industrial Science and Technology, 1-8-31 Midorigaoka, Ikeda, Osaka 563-8577, Japan</w:t>
                      </w:r>
                    </w:p>
                    <w:p w14:paraId="71856912" w14:textId="4F4AC038" w:rsidR="00C405FD" w:rsidRPr="00823B02" w:rsidRDefault="00C405FD" w:rsidP="009B299B">
                      <w:pPr>
                        <w:pStyle w:val="RSCF01FootnoteAuthorAddress"/>
                        <w:numPr>
                          <w:ilvl w:val="0"/>
                          <w:numId w:val="0"/>
                        </w:numPr>
                        <w:rPr>
                          <w:rFonts w:ascii="Times New Roman" w:hAnsi="Times New Roman"/>
                        </w:rPr>
                      </w:pPr>
                    </w:p>
                  </w:txbxContent>
                </v:textbox>
                <w10:wrap type="topAndBottom" anchory="margin"/>
                <w10:anchorlock/>
              </v:shape>
            </w:pict>
          </mc:Fallback>
        </mc:AlternateContent>
      </w:r>
      <w:r w:rsidR="00F62C8B" w:rsidRPr="002C1A46">
        <w:t>Received 00th January 20</w:t>
      </w:r>
      <w:r w:rsidR="00F15F90" w:rsidRPr="002C1A46">
        <w:t>xx</w:t>
      </w:r>
      <w:r w:rsidR="00F62C8B" w:rsidRPr="002C1A46">
        <w:t>,</w:t>
      </w:r>
    </w:p>
    <w:p w14:paraId="5E930491" w14:textId="77777777" w:rsidR="00F62C8B" w:rsidRPr="002C1A46" w:rsidRDefault="00F62C8B" w:rsidP="004C531E">
      <w:pPr>
        <w:pStyle w:val="RSCM01ReceivedAccepted"/>
      </w:pPr>
      <w:r w:rsidRPr="002C1A46">
        <w:t>Accepted 00th January 20</w:t>
      </w:r>
      <w:r w:rsidR="00F15F90" w:rsidRPr="002C1A46">
        <w:t>xx</w:t>
      </w:r>
    </w:p>
    <w:p w14:paraId="492325BD" w14:textId="77777777" w:rsidR="00F62C8B" w:rsidRPr="002C1A46" w:rsidRDefault="00F62C8B" w:rsidP="004C531E">
      <w:pPr>
        <w:pStyle w:val="RSCM02DOI"/>
      </w:pPr>
      <w:r w:rsidRPr="002C1A46">
        <w:t>DOI: 10.1039/x0xx00000x</w:t>
      </w:r>
    </w:p>
    <w:p w14:paraId="646B8F30" w14:textId="6358663E" w:rsidR="00A9649E" w:rsidRPr="002C1A46" w:rsidRDefault="00A9649E" w:rsidP="004C531E">
      <w:pPr>
        <w:pStyle w:val="RSCM03Website"/>
      </w:pPr>
    </w:p>
    <w:p w14:paraId="51574338" w14:textId="77777777" w:rsidR="002B62B5" w:rsidRPr="002C1A46" w:rsidRDefault="002B62B5" w:rsidP="004C531E">
      <w:pPr>
        <w:pStyle w:val="RSCM03Website"/>
      </w:pPr>
    </w:p>
    <w:p w14:paraId="0D6101E0" w14:textId="5E8C17D4" w:rsidR="004414A5" w:rsidRPr="002C1A46" w:rsidRDefault="00F62C8B" w:rsidP="00C32EDF">
      <w:pPr>
        <w:pStyle w:val="RSCH01PaperTitle"/>
      </w:pPr>
      <w:r w:rsidRPr="002C1A46">
        <w:br w:type="column"/>
      </w:r>
      <w:r w:rsidR="004627E0" w:rsidRPr="002C1A46">
        <w:t>Formation of two distinct intermediate-range orders in P</w:t>
      </w:r>
      <w:r w:rsidR="004627E0" w:rsidRPr="002C1A46">
        <w:rPr>
          <w:vertAlign w:val="subscript"/>
        </w:rPr>
        <w:t>2</w:t>
      </w:r>
      <w:r w:rsidR="004627E0" w:rsidRPr="002C1A46">
        <w:t>O</w:t>
      </w:r>
      <w:r w:rsidR="004627E0" w:rsidRPr="002C1A46">
        <w:rPr>
          <w:vertAlign w:val="subscript"/>
        </w:rPr>
        <w:t>5</w:t>
      </w:r>
      <w:r w:rsidR="004627E0" w:rsidRPr="002C1A46">
        <w:t xml:space="preserve"> glass</w:t>
      </w:r>
      <w:r w:rsidR="00A23C22" w:rsidRPr="002C1A46">
        <w:t xml:space="preserve"> revealed through the combination of diffraction, modelling, and topological analysis</w:t>
      </w:r>
    </w:p>
    <w:p w14:paraId="5D91B541" w14:textId="159D3CAB" w:rsidR="008125A0" w:rsidRPr="002C1A46" w:rsidRDefault="001A03B2" w:rsidP="008125A0">
      <w:pPr>
        <w:pStyle w:val="RSCB01ARTAbstract"/>
        <w:rPr>
          <w:rFonts w:cs="Times New Roman"/>
          <w:sz w:val="20"/>
          <w:vertAlign w:val="superscript"/>
        </w:rPr>
      </w:pPr>
      <w:r w:rsidRPr="002C1A46">
        <w:rPr>
          <w:rFonts w:cs="Times New Roman"/>
          <w:sz w:val="20"/>
        </w:rPr>
        <w:t>Yohei Onodera</w:t>
      </w:r>
      <w:r w:rsidR="008125A0" w:rsidRPr="002C1A46">
        <w:rPr>
          <w:rFonts w:cs="Times New Roman"/>
          <w:sz w:val="20"/>
        </w:rPr>
        <w:t>,*</w:t>
      </w:r>
      <w:r w:rsidR="008125A0" w:rsidRPr="002C1A46">
        <w:rPr>
          <w:rFonts w:cs="Times New Roman"/>
          <w:sz w:val="20"/>
          <w:vertAlign w:val="superscript"/>
        </w:rPr>
        <w:t>a</w:t>
      </w:r>
      <w:r w:rsidR="008125A0" w:rsidRPr="002C1A46">
        <w:rPr>
          <w:rFonts w:cs="Times New Roman"/>
          <w:sz w:val="20"/>
        </w:rPr>
        <w:t xml:space="preserve"> </w:t>
      </w:r>
      <w:r w:rsidR="002B51C5" w:rsidRPr="002C1A46">
        <w:rPr>
          <w:rFonts w:cs="Times New Roman"/>
          <w:sz w:val="20"/>
        </w:rPr>
        <w:t>Hirokazu Masai</w:t>
      </w:r>
      <w:r w:rsidRPr="002C1A46">
        <w:rPr>
          <w:rFonts w:cs="Times New Roman"/>
          <w:sz w:val="20"/>
        </w:rPr>
        <w:t xml:space="preserve"> </w:t>
      </w:r>
      <w:r w:rsidR="008125A0" w:rsidRPr="002C1A46">
        <w:rPr>
          <w:rFonts w:cs="Times New Roman"/>
          <w:sz w:val="20"/>
          <w:vertAlign w:val="superscript"/>
        </w:rPr>
        <w:t>b</w:t>
      </w:r>
      <w:r w:rsidR="002B51C5" w:rsidRPr="002C1A46">
        <w:rPr>
          <w:rFonts w:cs="Times New Roman"/>
          <w:sz w:val="20"/>
          <w:vertAlign w:val="superscript"/>
        </w:rPr>
        <w:t>,a</w:t>
      </w:r>
      <w:r w:rsidR="008125A0" w:rsidRPr="002C1A46">
        <w:rPr>
          <w:rFonts w:cs="Times New Roman"/>
          <w:sz w:val="20"/>
        </w:rPr>
        <w:t xml:space="preserve"> and </w:t>
      </w:r>
      <w:r w:rsidRPr="002C1A46">
        <w:rPr>
          <w:rFonts w:cs="Times New Roman"/>
          <w:sz w:val="20"/>
        </w:rPr>
        <w:t>Shinji Kohara</w:t>
      </w:r>
      <w:r w:rsidR="008125A0" w:rsidRPr="002C1A46">
        <w:rPr>
          <w:rFonts w:cs="Times New Roman"/>
          <w:sz w:val="20"/>
          <w:vertAlign w:val="superscript"/>
        </w:rPr>
        <w:t xml:space="preserve"> </w:t>
      </w:r>
      <w:r w:rsidRPr="002C1A46">
        <w:rPr>
          <w:rFonts w:cs="Times New Roman"/>
          <w:sz w:val="20"/>
          <w:vertAlign w:val="superscript"/>
        </w:rPr>
        <w:t>a</w:t>
      </w:r>
    </w:p>
    <w:p w14:paraId="39E3785F" w14:textId="7F796A9C" w:rsidR="00FA2DA2" w:rsidRPr="002C1A46" w:rsidRDefault="008F4B69" w:rsidP="00FA2DA2">
      <w:pPr>
        <w:pStyle w:val="RSCB01ARTAbstract"/>
        <w:rPr>
          <w:lang w:eastAsia="ja-JP"/>
        </w:rPr>
        <w:sectPr w:rsidR="00FA2DA2" w:rsidRPr="002C1A46" w:rsidSect="00514CBA">
          <w:headerReference w:type="even" r:id="rId8"/>
          <w:headerReference w:type="default" r:id="rId9"/>
          <w:footerReference w:type="even" r:id="rId10"/>
          <w:footerReference w:type="default" r:id="rId11"/>
          <w:headerReference w:type="first" r:id="rId12"/>
          <w:footerReference w:type="first" r:id="rId13"/>
          <w:pgSz w:w="11907" w:h="16840" w:code="9"/>
          <w:pgMar w:top="1009" w:right="851" w:bottom="1758" w:left="851" w:header="851" w:footer="1049" w:gutter="0"/>
          <w:cols w:num="2" w:space="227" w:equalWidth="0">
            <w:col w:w="1985" w:space="227"/>
            <w:col w:w="7993"/>
          </w:cols>
          <w:titlePg/>
          <w:docGrid w:linePitch="360"/>
        </w:sectPr>
      </w:pPr>
      <w:r w:rsidRPr="002C1A46">
        <w:t>Phosphorus pentoxide (P</w:t>
      </w:r>
      <w:r w:rsidRPr="002C1A46">
        <w:rPr>
          <w:vertAlign w:val="subscript"/>
        </w:rPr>
        <w:t>2</w:t>
      </w:r>
      <w:r w:rsidRPr="002C1A46">
        <w:t>O</w:t>
      </w:r>
      <w:r w:rsidRPr="002C1A46">
        <w:rPr>
          <w:vertAlign w:val="subscript"/>
        </w:rPr>
        <w:t>5</w:t>
      </w:r>
      <w:r w:rsidRPr="002C1A46">
        <w:t>) is a representative network-forming oxide composed of Q</w:t>
      </w:r>
      <w:r w:rsidRPr="002C1A46">
        <w:rPr>
          <w:vertAlign w:val="superscript"/>
        </w:rPr>
        <w:t>3</w:t>
      </w:r>
      <w:r w:rsidRPr="002C1A46">
        <w:t xml:space="preserve"> tetrahedral motifs, in which each phosphorus atom is bonded to three bridging oxygens (BOs) and one non-bridging oxygen (NBO). To elucidate the intermediate-range order in P</w:t>
      </w:r>
      <w:r w:rsidRPr="002C1A46">
        <w:rPr>
          <w:vertAlign w:val="subscript"/>
        </w:rPr>
        <w:t>2</w:t>
      </w:r>
      <w:r w:rsidRPr="002C1A46">
        <w:t>O</w:t>
      </w:r>
      <w:r w:rsidRPr="002C1A46">
        <w:rPr>
          <w:vertAlign w:val="subscript"/>
        </w:rPr>
        <w:t>5</w:t>
      </w:r>
      <w:r w:rsidRPr="002C1A46">
        <w:t xml:space="preserve"> glass associated with diffraction peaks observed in neutron and X-ray data, we constructed a three-dimensional structure model that reproduces the experimental data accurately using a combination of reverse Monte Carlo and classical molecular dynamics simulations. Analysis of Faber–Ziman and Bhatia–Thornton partial structure factors reveals that the three diffraction peaks observed in the neutron structure factor consist of a doublet first sharp diffraction peak (FSDP) and a single principal peak. Ring size distributions show that P</w:t>
      </w:r>
      <w:r w:rsidRPr="002C1A46">
        <w:rPr>
          <w:vertAlign w:val="subscript"/>
        </w:rPr>
        <w:t>2</w:t>
      </w:r>
      <w:r w:rsidRPr="002C1A46">
        <w:t>O</w:t>
      </w:r>
      <w:r w:rsidRPr="002C1A46">
        <w:rPr>
          <w:vertAlign w:val="subscript"/>
        </w:rPr>
        <w:t>5</w:t>
      </w:r>
      <w:r w:rsidRPr="002C1A46">
        <w:t xml:space="preserve"> glass exhibits a broader distribution than SiO</w:t>
      </w:r>
      <w:r w:rsidRPr="002C1A46">
        <w:rPr>
          <w:vertAlign w:val="subscript"/>
        </w:rPr>
        <w:t>2</w:t>
      </w:r>
      <w:r w:rsidRPr="002C1A46">
        <w:t xml:space="preserve"> glass with Q</w:t>
      </w:r>
      <w:r w:rsidRPr="002C1A46">
        <w:rPr>
          <w:vertAlign w:val="superscript"/>
        </w:rPr>
        <w:t>4</w:t>
      </w:r>
      <w:r w:rsidRPr="002C1A46">
        <w:t xml:space="preserve"> tetrahedral motifs, reflecting the presence of large rings associated with the Q</w:t>
      </w:r>
      <w:r w:rsidRPr="002C1A46">
        <w:rPr>
          <w:vertAlign w:val="superscript"/>
        </w:rPr>
        <w:t>3</w:t>
      </w:r>
      <w:r w:rsidRPr="002C1A46">
        <w:t xml:space="preserve"> network. Furthermore, </w:t>
      </w:r>
      <w:r w:rsidR="00233C75" w:rsidRPr="002C1A46">
        <w:t>the lower-</w:t>
      </w:r>
      <w:r w:rsidR="00233C75" w:rsidRPr="009D2EE9">
        <w:rPr>
          <w:i/>
          <w:iCs/>
        </w:rPr>
        <w:t>Q</w:t>
      </w:r>
      <w:r w:rsidRPr="002C1A46">
        <w:t xml:space="preserve"> FSDP (FSDP1) originates from periodic correlations in the P–BO network formed by the linkage of large rings, whereas the </w:t>
      </w:r>
      <w:r w:rsidR="006A1E94" w:rsidRPr="002C1A46">
        <w:t>higher-</w:t>
      </w:r>
      <w:r w:rsidR="006A1E94" w:rsidRPr="002C1A46">
        <w:rPr>
          <w:i/>
          <w:iCs/>
        </w:rPr>
        <w:t>Q</w:t>
      </w:r>
      <w:r w:rsidR="006A1E94" w:rsidRPr="002C1A46">
        <w:t xml:space="preserve"> FSDP</w:t>
      </w:r>
      <w:r w:rsidRPr="002C1A46">
        <w:t xml:space="preserve"> (FSDP2) arises from shorter-range correlations </w:t>
      </w:r>
      <w:r w:rsidR="007579A4" w:rsidRPr="002C1A46">
        <w:t>associated with the formation of atomic arrangement of</w:t>
      </w:r>
      <w:r w:rsidRPr="002C1A46">
        <w:t xml:space="preserve"> P and NBO</w:t>
      </w:r>
      <w:r w:rsidR="00AF7838" w:rsidRPr="002C1A46">
        <w:t xml:space="preserve"> atoms</w:t>
      </w:r>
      <w:r w:rsidRPr="002C1A46">
        <w:t xml:space="preserve"> within </w:t>
      </w:r>
      <w:r w:rsidR="00AF7838" w:rsidRPr="002C1A46">
        <w:t>these</w:t>
      </w:r>
      <w:r w:rsidRPr="002C1A46">
        <w:t xml:space="preserve"> large ring</w:t>
      </w:r>
      <w:r w:rsidR="005044DB" w:rsidRPr="002C1A46">
        <w:t>s</w:t>
      </w:r>
      <w:r w:rsidRPr="002C1A46">
        <w:t xml:space="preserve">. These results demonstrate the </w:t>
      </w:r>
      <w:r w:rsidR="00357EFC" w:rsidRPr="002C1A46">
        <w:t>coexistence</w:t>
      </w:r>
      <w:r w:rsidRPr="002C1A46">
        <w:t xml:space="preserve"> of two distinct intermediate-range orders with different characteristic length scales in P</w:t>
      </w:r>
      <w:r w:rsidRPr="002C1A46">
        <w:rPr>
          <w:vertAlign w:val="subscript"/>
        </w:rPr>
        <w:t>2</w:t>
      </w:r>
      <w:r w:rsidRPr="002C1A46">
        <w:t>O</w:t>
      </w:r>
      <w:r w:rsidRPr="002C1A46">
        <w:rPr>
          <w:vertAlign w:val="subscript"/>
        </w:rPr>
        <w:t>5</w:t>
      </w:r>
      <w:r w:rsidRPr="002C1A46">
        <w:t xml:space="preserve"> glass</w:t>
      </w:r>
      <w:r w:rsidR="00C23E5D" w:rsidRPr="002C1A46">
        <w:t>, providing a comprehensive topological understanding of its unique network structure.</w:t>
      </w:r>
    </w:p>
    <w:p w14:paraId="4C82905E" w14:textId="4F9A5CA3" w:rsidR="00D244D4" w:rsidRPr="002C1A46" w:rsidRDefault="00D244D4" w:rsidP="003D7A50">
      <w:pPr>
        <w:pStyle w:val="RSCB04AHeadingSection"/>
        <w:numPr>
          <w:ilvl w:val="0"/>
          <w:numId w:val="13"/>
        </w:numPr>
      </w:pPr>
      <w:r w:rsidRPr="002C1A46">
        <w:t>Introduction</w:t>
      </w:r>
    </w:p>
    <w:p w14:paraId="06D0CE0B" w14:textId="43ED50D7" w:rsidR="00266B0B" w:rsidRPr="002C1A46" w:rsidRDefault="00266B0B" w:rsidP="00266B0B">
      <w:pPr>
        <w:spacing w:after="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Glass is one of the oldest known materials and remains widely utilized in modern industry. Its physicochemical properties depend strongly on composition and can be systematically tuned by incorporating network modifiers, such as alkali metal oxides and alkaline earth oxides, which are predominantly ionic, into network-forming oxides with strong covalent bonding. However, the fundamental properties of glasses, including transparency, mechanical strength, and chemical durability, are primarily governed by the network-forming oxides. Phosphorus pentoxide (P</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is classified as a prototypical network-forming oxide together with silica (SiO</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 boron trioxide (B</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3</w:t>
      </w:r>
      <w:r w:rsidRPr="002C1A46">
        <w:rPr>
          <w:rFonts w:ascii="Times New Roman" w:hAnsi="Times New Roman" w:cs="Times New Roman"/>
          <w:sz w:val="18"/>
          <w:szCs w:val="18"/>
          <w:lang w:eastAsia="ja-JP"/>
        </w:rPr>
        <w:t>), and germanium dioxide (GeO</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w:t>
      </w:r>
      <w:r w:rsidRPr="002C1A46">
        <w:rPr>
          <w:rFonts w:ascii="Times New Roman" w:hAnsi="Times New Roman" w:cs="Times New Roman"/>
          <w:sz w:val="18"/>
          <w:szCs w:val="18"/>
          <w:vertAlign w:val="superscript"/>
          <w:lang w:eastAsia="ja-JP"/>
        </w:rPr>
        <w:t>1–3</w:t>
      </w:r>
      <w:r w:rsidRPr="002C1A46">
        <w:rPr>
          <w:rFonts w:ascii="Times New Roman" w:hAnsi="Times New Roman" w:cs="Times New Roman"/>
          <w:sz w:val="18"/>
          <w:szCs w:val="18"/>
          <w:lang w:eastAsia="ja-JP"/>
        </w:rPr>
        <w:t xml:space="preserve"> </w:t>
      </w:r>
      <w:r w:rsidR="00502A8A" w:rsidRPr="002C1A46">
        <w:rPr>
          <w:rFonts w:ascii="Times New Roman" w:hAnsi="Times New Roman" w:cs="Times New Roman"/>
          <w:sz w:val="18"/>
          <w:szCs w:val="18"/>
          <w:lang w:eastAsia="ja-JP"/>
        </w:rPr>
        <w:t>P</w:t>
      </w:r>
      <w:r w:rsidR="00502A8A" w:rsidRPr="002C1A46">
        <w:rPr>
          <w:rFonts w:ascii="Times New Roman" w:hAnsi="Times New Roman" w:cs="Times New Roman"/>
          <w:sz w:val="18"/>
          <w:szCs w:val="18"/>
          <w:vertAlign w:val="subscript"/>
          <w:lang w:eastAsia="ja-JP"/>
        </w:rPr>
        <w:t>2</w:t>
      </w:r>
      <w:r w:rsidR="00502A8A" w:rsidRPr="002C1A46">
        <w:rPr>
          <w:rFonts w:ascii="Times New Roman" w:hAnsi="Times New Roman" w:cs="Times New Roman"/>
          <w:sz w:val="18"/>
          <w:szCs w:val="18"/>
          <w:lang w:eastAsia="ja-JP"/>
        </w:rPr>
        <w:t>O</w:t>
      </w:r>
      <w:r w:rsidR="00502A8A"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exhibits characteristic properties, including low melting and softening temperatures,</w:t>
      </w:r>
      <w:r w:rsidRPr="002C1A46">
        <w:rPr>
          <w:rFonts w:ascii="Times New Roman" w:hAnsi="Times New Roman" w:cs="Times New Roman"/>
          <w:sz w:val="18"/>
          <w:szCs w:val="18"/>
          <w:vertAlign w:val="subscript"/>
          <w:lang w:eastAsia="ja-JP"/>
        </w:rPr>
        <w:t>4</w:t>
      </w:r>
      <w:r w:rsidRPr="002C1A46">
        <w:rPr>
          <w:rFonts w:ascii="Times New Roman" w:hAnsi="Times New Roman" w:cs="Times New Roman"/>
          <w:sz w:val="18"/>
          <w:szCs w:val="18"/>
          <w:lang w:eastAsia="ja-JP"/>
        </w:rPr>
        <w:t xml:space="preserve"> high ultraviolet transmittance, and a high thermal expansion coefficient,</w:t>
      </w:r>
      <w:r w:rsidRPr="002C1A46">
        <w:rPr>
          <w:rFonts w:ascii="Times New Roman" w:hAnsi="Times New Roman" w:cs="Times New Roman"/>
          <w:sz w:val="18"/>
          <w:szCs w:val="18"/>
          <w:vertAlign w:val="superscript"/>
          <w:lang w:eastAsia="ja-JP"/>
        </w:rPr>
        <w:t>5</w:t>
      </w:r>
      <w:r w:rsidRPr="002C1A46">
        <w:rPr>
          <w:rFonts w:ascii="Times New Roman" w:hAnsi="Times New Roman" w:cs="Times New Roman"/>
          <w:sz w:val="18"/>
          <w:szCs w:val="18"/>
          <w:lang w:eastAsia="ja-JP"/>
        </w:rPr>
        <w:t xml:space="preserve"> but also shows poor chemical durability and pronounced hygroscopicity. Accordingly, </w:t>
      </w:r>
      <w:r w:rsidR="00502A8A" w:rsidRPr="002C1A46">
        <w:rPr>
          <w:rFonts w:ascii="Times New Roman" w:hAnsi="Times New Roman" w:cs="Times New Roman"/>
          <w:sz w:val="18"/>
          <w:szCs w:val="18"/>
          <w:lang w:eastAsia="ja-JP"/>
        </w:rPr>
        <w:t>P</w:t>
      </w:r>
      <w:r w:rsidR="00502A8A" w:rsidRPr="002C1A46">
        <w:rPr>
          <w:rFonts w:ascii="Times New Roman" w:hAnsi="Times New Roman" w:cs="Times New Roman"/>
          <w:sz w:val="18"/>
          <w:szCs w:val="18"/>
          <w:vertAlign w:val="subscript"/>
          <w:lang w:eastAsia="ja-JP"/>
        </w:rPr>
        <w:t>2</w:t>
      </w:r>
      <w:r w:rsidR="00502A8A" w:rsidRPr="002C1A46">
        <w:rPr>
          <w:rFonts w:ascii="Times New Roman" w:hAnsi="Times New Roman" w:cs="Times New Roman"/>
          <w:sz w:val="18"/>
          <w:szCs w:val="18"/>
          <w:lang w:eastAsia="ja-JP"/>
        </w:rPr>
        <w:t>O</w:t>
      </w:r>
      <w:r w:rsidR="00502A8A"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-based (phosphate) glasses are archetypical oxide glasses with significant potential for applications, including lead-free low-temperature sealing glasses,</w:t>
      </w:r>
      <w:r w:rsidRPr="002C1A46">
        <w:rPr>
          <w:rFonts w:ascii="Times New Roman" w:hAnsi="Times New Roman" w:cs="Times New Roman"/>
          <w:sz w:val="18"/>
          <w:szCs w:val="18"/>
          <w:vertAlign w:val="superscript"/>
          <w:lang w:eastAsia="ja-JP"/>
        </w:rPr>
        <w:t>6,7</w:t>
      </w:r>
      <w:r w:rsidRPr="002C1A46">
        <w:rPr>
          <w:rFonts w:ascii="Times New Roman" w:hAnsi="Times New Roman" w:cs="Times New Roman"/>
          <w:sz w:val="18"/>
          <w:szCs w:val="18"/>
          <w:lang w:eastAsia="ja-JP"/>
        </w:rPr>
        <w:t xml:space="preserve"> biocompatible glasses,</w:t>
      </w:r>
      <w:r w:rsidRPr="002C1A46">
        <w:rPr>
          <w:rFonts w:ascii="Times New Roman" w:hAnsi="Times New Roman" w:cs="Times New Roman"/>
          <w:sz w:val="18"/>
          <w:szCs w:val="18"/>
          <w:vertAlign w:val="superscript"/>
          <w:lang w:eastAsia="ja-JP"/>
        </w:rPr>
        <w:t>8,9</w:t>
      </w:r>
      <w:r w:rsidRPr="002C1A46">
        <w:rPr>
          <w:rFonts w:ascii="Times New Roman" w:hAnsi="Times New Roman" w:cs="Times New Roman"/>
          <w:sz w:val="18"/>
          <w:szCs w:val="18"/>
          <w:lang w:eastAsia="ja-JP"/>
        </w:rPr>
        <w:t xml:space="preserve"> rare-earth-ion hosts for solid-state lasers,</w:t>
      </w:r>
      <w:r w:rsidRPr="002C1A46">
        <w:rPr>
          <w:rFonts w:ascii="Times New Roman" w:hAnsi="Times New Roman" w:cs="Times New Roman"/>
          <w:sz w:val="18"/>
          <w:szCs w:val="18"/>
          <w:vertAlign w:val="superscript"/>
          <w:lang w:eastAsia="ja-JP"/>
        </w:rPr>
        <w:t>10–12</w:t>
      </w:r>
      <w:r w:rsidRPr="002C1A46">
        <w:rPr>
          <w:rFonts w:ascii="Times New Roman" w:hAnsi="Times New Roman" w:cs="Times New Roman"/>
          <w:sz w:val="18"/>
          <w:szCs w:val="18"/>
          <w:lang w:eastAsia="ja-JP"/>
        </w:rPr>
        <w:t xml:space="preserve"> and rubber-like glasses exhibiting entropic elasticity.</w:t>
      </w:r>
      <w:r w:rsidRPr="002C1A46">
        <w:rPr>
          <w:rFonts w:ascii="Times New Roman" w:hAnsi="Times New Roman" w:cs="Times New Roman"/>
          <w:sz w:val="18"/>
          <w:szCs w:val="18"/>
          <w:vertAlign w:val="superscript"/>
          <w:lang w:eastAsia="ja-JP"/>
        </w:rPr>
        <w:t>13</w:t>
      </w:r>
    </w:p>
    <w:p w14:paraId="769ED8D5" w14:textId="66226620" w:rsidR="001B57F1" w:rsidRPr="002C1A46" w:rsidRDefault="00266B0B" w:rsidP="001B57F1">
      <w:pPr>
        <w:spacing w:after="0"/>
        <w:ind w:firstLineChars="150" w:firstLine="27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The structure of </w:t>
      </w:r>
      <w:r w:rsidR="00502A8A" w:rsidRPr="002C1A46">
        <w:rPr>
          <w:rFonts w:ascii="Times New Roman" w:hAnsi="Times New Roman" w:cs="Times New Roman"/>
          <w:sz w:val="18"/>
          <w:szCs w:val="18"/>
          <w:lang w:eastAsia="ja-JP"/>
        </w:rPr>
        <w:t>P</w:t>
      </w:r>
      <w:r w:rsidR="00502A8A" w:rsidRPr="002C1A46">
        <w:rPr>
          <w:rFonts w:ascii="Times New Roman" w:hAnsi="Times New Roman" w:cs="Times New Roman"/>
          <w:sz w:val="18"/>
          <w:szCs w:val="18"/>
          <w:vertAlign w:val="subscript"/>
          <w:lang w:eastAsia="ja-JP"/>
        </w:rPr>
        <w:t>2</w:t>
      </w:r>
      <w:r w:rsidR="00502A8A" w:rsidRPr="002C1A46">
        <w:rPr>
          <w:rFonts w:ascii="Times New Roman" w:hAnsi="Times New Roman" w:cs="Times New Roman"/>
          <w:sz w:val="18"/>
          <w:szCs w:val="18"/>
          <w:lang w:eastAsia="ja-JP"/>
        </w:rPr>
        <w:t>O</w:t>
      </w:r>
      <w:r w:rsidR="00502A8A"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has been extensively studied by neutron diffraction (ND),</w:t>
      </w:r>
      <w:r w:rsidRPr="002C1A46">
        <w:rPr>
          <w:rFonts w:ascii="Times New Roman" w:hAnsi="Times New Roman" w:cs="Times New Roman"/>
          <w:sz w:val="18"/>
          <w:szCs w:val="18"/>
          <w:vertAlign w:val="superscript"/>
          <w:lang w:eastAsia="ja-JP"/>
        </w:rPr>
        <w:t>14,15</w:t>
      </w:r>
      <w:r w:rsidRPr="002C1A46">
        <w:rPr>
          <w:rFonts w:ascii="Times New Roman" w:hAnsi="Times New Roman" w:cs="Times New Roman"/>
          <w:sz w:val="18"/>
          <w:szCs w:val="18"/>
          <w:lang w:eastAsia="ja-JP"/>
        </w:rPr>
        <w:t xml:space="preserve"> X-ray diffraction (XRD),</w:t>
      </w:r>
      <w:r w:rsidRPr="002C1A46">
        <w:rPr>
          <w:rFonts w:ascii="Times New Roman" w:hAnsi="Times New Roman" w:cs="Times New Roman"/>
          <w:sz w:val="18"/>
          <w:szCs w:val="18"/>
          <w:vertAlign w:val="superscript"/>
          <w:lang w:eastAsia="ja-JP"/>
        </w:rPr>
        <w:t>16</w:t>
      </w:r>
      <w:r w:rsidRPr="002C1A46">
        <w:rPr>
          <w:rFonts w:ascii="Times New Roman" w:hAnsi="Times New Roman" w:cs="Times New Roman"/>
          <w:sz w:val="18"/>
          <w:szCs w:val="18"/>
          <w:lang w:eastAsia="ja-JP"/>
        </w:rPr>
        <w:t xml:space="preserve"> Raman spectroscopy,</w:t>
      </w:r>
      <w:r w:rsidRPr="002C1A46">
        <w:rPr>
          <w:rFonts w:ascii="Times New Roman" w:hAnsi="Times New Roman" w:cs="Times New Roman"/>
          <w:sz w:val="18"/>
          <w:szCs w:val="18"/>
          <w:vertAlign w:val="superscript"/>
          <w:lang w:eastAsia="ja-JP"/>
        </w:rPr>
        <w:t>17</w:t>
      </w:r>
      <w:r w:rsidRPr="002C1A46">
        <w:rPr>
          <w:rFonts w:ascii="Times New Roman" w:hAnsi="Times New Roman" w:cs="Times New Roman"/>
          <w:sz w:val="18"/>
          <w:szCs w:val="18"/>
          <w:lang w:eastAsia="ja-JP"/>
        </w:rPr>
        <w:t xml:space="preserve"> and </w:t>
      </w:r>
      <w:r w:rsidRPr="002C1A46">
        <w:rPr>
          <w:rFonts w:ascii="Times New Roman" w:hAnsi="Times New Roman" w:cs="Times New Roman"/>
          <w:sz w:val="18"/>
          <w:szCs w:val="18"/>
          <w:vertAlign w:val="superscript"/>
          <w:lang w:eastAsia="ja-JP"/>
        </w:rPr>
        <w:t>31</w:t>
      </w:r>
      <w:r w:rsidRPr="002C1A46">
        <w:rPr>
          <w:rFonts w:ascii="Times New Roman" w:hAnsi="Times New Roman" w:cs="Times New Roman"/>
          <w:sz w:val="18"/>
          <w:szCs w:val="18"/>
          <w:lang w:eastAsia="ja-JP"/>
        </w:rPr>
        <w:t>P MAS NMR spectroscopy.</w:t>
      </w:r>
      <w:r w:rsidRPr="002C1A46">
        <w:rPr>
          <w:rFonts w:ascii="Times New Roman" w:hAnsi="Times New Roman" w:cs="Times New Roman"/>
          <w:sz w:val="18"/>
          <w:szCs w:val="18"/>
          <w:vertAlign w:val="superscript"/>
          <w:lang w:eastAsia="ja-JP"/>
        </w:rPr>
        <w:t>18</w:t>
      </w:r>
      <w:r w:rsidRPr="002C1A46">
        <w:rPr>
          <w:rFonts w:ascii="Times New Roman" w:hAnsi="Times New Roman" w:cs="Times New Roman"/>
          <w:sz w:val="18"/>
          <w:szCs w:val="18"/>
          <w:lang w:eastAsia="ja-JP"/>
        </w:rPr>
        <w:t xml:space="preserve"> These studies have shown that the short-range structural units in </w:t>
      </w:r>
      <w:r w:rsidR="00502A8A" w:rsidRPr="002C1A46">
        <w:rPr>
          <w:rFonts w:ascii="Times New Roman" w:hAnsi="Times New Roman" w:cs="Times New Roman"/>
          <w:sz w:val="18"/>
          <w:szCs w:val="18"/>
          <w:lang w:eastAsia="ja-JP"/>
        </w:rPr>
        <w:t>P</w:t>
      </w:r>
      <w:r w:rsidR="00502A8A" w:rsidRPr="002C1A46">
        <w:rPr>
          <w:rFonts w:ascii="Times New Roman" w:hAnsi="Times New Roman" w:cs="Times New Roman"/>
          <w:sz w:val="18"/>
          <w:szCs w:val="18"/>
          <w:vertAlign w:val="subscript"/>
          <w:lang w:eastAsia="ja-JP"/>
        </w:rPr>
        <w:t>2</w:t>
      </w:r>
      <w:r w:rsidR="00502A8A" w:rsidRPr="002C1A46">
        <w:rPr>
          <w:rFonts w:ascii="Times New Roman" w:hAnsi="Times New Roman" w:cs="Times New Roman"/>
          <w:sz w:val="18"/>
          <w:szCs w:val="18"/>
          <w:lang w:eastAsia="ja-JP"/>
        </w:rPr>
        <w:t>O</w:t>
      </w:r>
      <w:r w:rsidR="00502A8A"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are PO</w:t>
      </w:r>
      <w:r w:rsidRPr="002C1A46">
        <w:rPr>
          <w:rFonts w:ascii="Times New Roman" w:hAnsi="Times New Roman" w:cs="Times New Roman"/>
          <w:sz w:val="18"/>
          <w:szCs w:val="18"/>
          <w:vertAlign w:val="subscript"/>
          <w:lang w:eastAsia="ja-JP"/>
        </w:rPr>
        <w:t>4</w:t>
      </w:r>
      <w:r w:rsidRPr="002C1A46">
        <w:rPr>
          <w:rFonts w:ascii="Times New Roman" w:hAnsi="Times New Roman" w:cs="Times New Roman"/>
          <w:sz w:val="18"/>
          <w:szCs w:val="18"/>
          <w:lang w:eastAsia="ja-JP"/>
        </w:rPr>
        <w:t xml:space="preserve"> tetrahedra, and that the glass structure can be described as a network formed by corner-sharing PO</w:t>
      </w:r>
      <w:r w:rsidRPr="002C1A46">
        <w:rPr>
          <w:rFonts w:ascii="Times New Roman" w:hAnsi="Times New Roman" w:cs="Times New Roman"/>
          <w:sz w:val="18"/>
          <w:szCs w:val="18"/>
          <w:vertAlign w:val="subscript"/>
          <w:lang w:eastAsia="ja-JP"/>
        </w:rPr>
        <w:t>4</w:t>
      </w:r>
      <w:r w:rsidRPr="002C1A46">
        <w:rPr>
          <w:rFonts w:ascii="Times New Roman" w:hAnsi="Times New Roman" w:cs="Times New Roman"/>
          <w:sz w:val="18"/>
          <w:szCs w:val="18"/>
          <w:lang w:eastAsia="ja-JP"/>
        </w:rPr>
        <w:t xml:space="preserve"> tetrahedra. Although this network structure is similar to that of other tetrahedral network glasses, such as SiO</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 xml:space="preserve"> and GeO</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 an important distinction of P</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is that each PO</w:t>
      </w:r>
      <w:r w:rsidRPr="002C1A46">
        <w:rPr>
          <w:rFonts w:ascii="Times New Roman" w:hAnsi="Times New Roman" w:cs="Times New Roman"/>
          <w:sz w:val="18"/>
          <w:szCs w:val="18"/>
          <w:vertAlign w:val="subscript"/>
          <w:lang w:eastAsia="ja-JP"/>
        </w:rPr>
        <w:t>4</w:t>
      </w:r>
      <w:r w:rsidRPr="002C1A46">
        <w:rPr>
          <w:rFonts w:ascii="Times New Roman" w:hAnsi="Times New Roman" w:cs="Times New Roman"/>
          <w:sz w:val="18"/>
          <w:szCs w:val="18"/>
          <w:lang w:eastAsia="ja-JP"/>
        </w:rPr>
        <w:t xml:space="preserve"> tetrahedron contains one short P=O double bond and three longer P–O single bonds. The former oxygen terminates the network and is referred to as a non-bridging oxygen (NBO), whereas the latter three oxygens can be shared by other PO</w:t>
      </w:r>
      <w:r w:rsidRPr="002C1A46">
        <w:rPr>
          <w:rFonts w:ascii="Times New Roman" w:hAnsi="Times New Roman" w:cs="Times New Roman"/>
          <w:sz w:val="18"/>
          <w:szCs w:val="18"/>
          <w:vertAlign w:val="subscript"/>
          <w:lang w:eastAsia="ja-JP"/>
        </w:rPr>
        <w:t>4</w:t>
      </w:r>
      <w:r w:rsidRPr="002C1A46">
        <w:rPr>
          <w:rFonts w:ascii="Times New Roman" w:hAnsi="Times New Roman" w:cs="Times New Roman"/>
          <w:sz w:val="18"/>
          <w:szCs w:val="18"/>
          <w:lang w:eastAsia="ja-JP"/>
        </w:rPr>
        <w:t xml:space="preserve"> tetrahedra to form corner-sharing P–O–P linkages and are referred to as bridging oxygens (BOs). The local structural and chemical order within the tetrahedral network is commonly described using Q</w:t>
      </w:r>
      <w:r w:rsidRPr="002C1A46">
        <w:rPr>
          <w:rFonts w:ascii="Times New Roman" w:hAnsi="Times New Roman" w:cs="Times New Roman"/>
          <w:i/>
          <w:iCs/>
          <w:sz w:val="18"/>
          <w:szCs w:val="18"/>
          <w:vertAlign w:val="superscript"/>
          <w:lang w:eastAsia="ja-JP"/>
        </w:rPr>
        <w:t>n</w:t>
      </w:r>
      <w:r w:rsidRPr="002C1A46">
        <w:rPr>
          <w:rFonts w:ascii="Times New Roman" w:hAnsi="Times New Roman" w:cs="Times New Roman"/>
          <w:sz w:val="18"/>
          <w:szCs w:val="18"/>
          <w:lang w:eastAsia="ja-JP"/>
        </w:rPr>
        <w:t xml:space="preserve"> species, where n denotes the number of BOs per tetrahedron. </w:t>
      </w:r>
      <w:r w:rsidR="00977518" w:rsidRPr="002C1A46">
        <w:rPr>
          <w:rFonts w:ascii="Times New Roman" w:hAnsi="Times New Roman" w:cs="Times New Roman"/>
          <w:sz w:val="18"/>
          <w:szCs w:val="18"/>
          <w:lang w:eastAsia="ja-JP"/>
        </w:rPr>
        <w:t>In the ideal network structure of P</w:t>
      </w:r>
      <w:r w:rsidR="00977518" w:rsidRPr="002C1A46">
        <w:rPr>
          <w:rFonts w:ascii="Times New Roman" w:hAnsi="Times New Roman" w:cs="Times New Roman"/>
          <w:sz w:val="18"/>
          <w:szCs w:val="18"/>
          <w:vertAlign w:val="subscript"/>
          <w:lang w:eastAsia="ja-JP"/>
        </w:rPr>
        <w:t>2</w:t>
      </w:r>
      <w:r w:rsidR="00977518" w:rsidRPr="002C1A46">
        <w:rPr>
          <w:rFonts w:ascii="Times New Roman" w:hAnsi="Times New Roman" w:cs="Times New Roman"/>
          <w:sz w:val="18"/>
          <w:szCs w:val="18"/>
          <w:lang w:eastAsia="ja-JP"/>
        </w:rPr>
        <w:t>O</w:t>
      </w:r>
      <w:r w:rsidR="00977518" w:rsidRPr="002C1A46">
        <w:rPr>
          <w:rFonts w:ascii="Times New Roman" w:hAnsi="Times New Roman" w:cs="Times New Roman"/>
          <w:sz w:val="18"/>
          <w:szCs w:val="18"/>
          <w:vertAlign w:val="subscript"/>
          <w:lang w:eastAsia="ja-JP"/>
        </w:rPr>
        <w:t>5</w:t>
      </w:r>
      <w:r w:rsidR="00977518" w:rsidRPr="002C1A46">
        <w:rPr>
          <w:rFonts w:ascii="Times New Roman" w:hAnsi="Times New Roman" w:cs="Times New Roman"/>
          <w:sz w:val="18"/>
          <w:szCs w:val="18"/>
          <w:lang w:eastAsia="ja-JP"/>
        </w:rPr>
        <w:t xml:space="preserve"> glass, each PO</w:t>
      </w:r>
      <w:r w:rsidR="00977518" w:rsidRPr="002C1A46">
        <w:rPr>
          <w:rFonts w:ascii="Times New Roman" w:hAnsi="Times New Roman" w:cs="Times New Roman"/>
          <w:sz w:val="18"/>
          <w:szCs w:val="18"/>
          <w:vertAlign w:val="subscript"/>
          <w:lang w:eastAsia="ja-JP"/>
        </w:rPr>
        <w:t>4</w:t>
      </w:r>
      <w:r w:rsidR="00977518" w:rsidRPr="002C1A46">
        <w:rPr>
          <w:rFonts w:ascii="Times New Roman" w:hAnsi="Times New Roman" w:cs="Times New Roman"/>
          <w:sz w:val="18"/>
          <w:szCs w:val="18"/>
          <w:lang w:eastAsia="ja-JP"/>
        </w:rPr>
        <w:t xml:space="preserve"> tetrahedron possesses three BOs and one NBO, and is thus</w:t>
      </w:r>
      <w:r w:rsidRPr="002C1A46">
        <w:rPr>
          <w:rFonts w:ascii="Times New Roman" w:hAnsi="Times New Roman" w:cs="Times New Roman"/>
          <w:sz w:val="18"/>
          <w:szCs w:val="18"/>
          <w:lang w:eastAsia="ja-JP"/>
        </w:rPr>
        <w:t xml:space="preserve"> classified as Q</w:t>
      </w:r>
      <w:r w:rsidRPr="002C1A46">
        <w:rPr>
          <w:rFonts w:ascii="Times New Roman" w:hAnsi="Times New Roman" w:cs="Times New Roman"/>
          <w:sz w:val="18"/>
          <w:szCs w:val="18"/>
          <w:vertAlign w:val="superscript"/>
          <w:lang w:eastAsia="ja-JP"/>
        </w:rPr>
        <w:t>3</w:t>
      </w:r>
      <w:r w:rsidRPr="002C1A46">
        <w:rPr>
          <w:rFonts w:ascii="Times New Roman" w:hAnsi="Times New Roman" w:cs="Times New Roman"/>
          <w:sz w:val="18"/>
          <w:szCs w:val="18"/>
          <w:lang w:eastAsia="ja-JP"/>
        </w:rPr>
        <w:t xml:space="preserve"> units. From ND and high-energy XRD measurements,</w:t>
      </w:r>
      <w:r w:rsidRPr="002C1A46">
        <w:rPr>
          <w:rFonts w:ascii="Times New Roman" w:hAnsi="Times New Roman" w:cs="Times New Roman"/>
          <w:sz w:val="18"/>
          <w:szCs w:val="18"/>
          <w:vertAlign w:val="superscript"/>
          <w:lang w:eastAsia="ja-JP"/>
        </w:rPr>
        <w:t>14</w:t>
      </w:r>
      <w:r w:rsidR="00983A29" w:rsidRPr="002C1A46">
        <w:rPr>
          <w:rFonts w:ascii="Times New Roman" w:hAnsi="Times New Roman" w:cs="Times New Roman"/>
          <w:sz w:val="18"/>
          <w:szCs w:val="18"/>
          <w:vertAlign w:val="superscript"/>
          <w:lang w:eastAsia="ja-JP"/>
        </w:rPr>
        <w:t>–</w:t>
      </w:r>
      <w:r w:rsidRPr="002C1A46">
        <w:rPr>
          <w:rFonts w:ascii="Times New Roman" w:hAnsi="Times New Roman" w:cs="Times New Roman"/>
          <w:sz w:val="18"/>
          <w:szCs w:val="18"/>
          <w:vertAlign w:val="superscript"/>
          <w:lang w:eastAsia="ja-JP"/>
        </w:rPr>
        <w:t>16</w:t>
      </w:r>
      <w:r w:rsidRPr="002C1A46">
        <w:rPr>
          <w:rFonts w:ascii="Times New Roman" w:hAnsi="Times New Roman" w:cs="Times New Roman"/>
          <w:sz w:val="18"/>
          <w:szCs w:val="18"/>
          <w:lang w:eastAsia="ja-JP"/>
        </w:rPr>
        <w:t xml:space="preserve"> the short-range Q</w:t>
      </w:r>
      <w:r w:rsidRPr="002C1A46">
        <w:rPr>
          <w:rFonts w:ascii="Times New Roman" w:hAnsi="Times New Roman" w:cs="Times New Roman"/>
          <w:sz w:val="18"/>
          <w:szCs w:val="18"/>
          <w:vertAlign w:val="superscript"/>
          <w:lang w:eastAsia="ja-JP"/>
        </w:rPr>
        <w:t>3</w:t>
      </w:r>
      <w:r w:rsidRPr="002C1A46">
        <w:rPr>
          <w:rFonts w:ascii="Times New Roman" w:hAnsi="Times New Roman" w:cs="Times New Roman"/>
          <w:sz w:val="18"/>
          <w:szCs w:val="18"/>
          <w:lang w:eastAsia="ja-JP"/>
        </w:rPr>
        <w:t xml:space="preserve"> structure in </w:t>
      </w:r>
      <w:r w:rsidR="00502A8A" w:rsidRPr="002C1A46">
        <w:rPr>
          <w:rFonts w:ascii="Times New Roman" w:hAnsi="Times New Roman" w:cs="Times New Roman"/>
          <w:sz w:val="18"/>
          <w:szCs w:val="18"/>
          <w:lang w:eastAsia="ja-JP"/>
        </w:rPr>
        <w:t>P</w:t>
      </w:r>
      <w:r w:rsidR="00502A8A" w:rsidRPr="002C1A46">
        <w:rPr>
          <w:rFonts w:ascii="Times New Roman" w:hAnsi="Times New Roman" w:cs="Times New Roman"/>
          <w:sz w:val="18"/>
          <w:szCs w:val="18"/>
          <w:vertAlign w:val="subscript"/>
          <w:lang w:eastAsia="ja-JP"/>
        </w:rPr>
        <w:t>2</w:t>
      </w:r>
      <w:r w:rsidR="00502A8A" w:rsidRPr="002C1A46">
        <w:rPr>
          <w:rFonts w:ascii="Times New Roman" w:hAnsi="Times New Roman" w:cs="Times New Roman"/>
          <w:sz w:val="18"/>
          <w:szCs w:val="18"/>
          <w:lang w:eastAsia="ja-JP"/>
        </w:rPr>
        <w:t>O</w:t>
      </w:r>
      <w:r w:rsidR="00502A8A"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has been well established, with P=O and P</w:t>
      </w:r>
      <w:r w:rsidR="00983A29" w:rsidRPr="002C1A46">
        <w:rPr>
          <w:rFonts w:ascii="Times New Roman" w:hAnsi="Times New Roman" w:cs="Times New Roman"/>
          <w:sz w:val="18"/>
          <w:szCs w:val="18"/>
          <w:lang w:eastAsia="ja-JP"/>
        </w:rPr>
        <w:t>–</w:t>
      </w:r>
      <w:r w:rsidRPr="002C1A46">
        <w:rPr>
          <w:rFonts w:ascii="Times New Roman" w:hAnsi="Times New Roman" w:cs="Times New Roman"/>
          <w:sz w:val="18"/>
          <w:szCs w:val="18"/>
          <w:lang w:eastAsia="ja-JP"/>
        </w:rPr>
        <w:t>O bond lengths of 1.43 Å and 1.58 Å, respectively.</w:t>
      </w:r>
    </w:p>
    <w:p w14:paraId="054378EA" w14:textId="28E976BF" w:rsidR="004367C4" w:rsidRPr="002C1A46" w:rsidRDefault="00266B0B" w:rsidP="004367C4">
      <w:pPr>
        <w:spacing w:after="0"/>
        <w:ind w:firstLineChars="150" w:firstLine="27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Elucidating glass structure beyond the first coordination distance, commonly referred to as intermediate-range order, remains challenging due to the absence of translational symmetry. In addition to molecular dynamics (MD) simulations, reverse Monte Carlo (RMC) modelling</w:t>
      </w:r>
      <w:r w:rsidRPr="002C1A46">
        <w:rPr>
          <w:rFonts w:ascii="Times New Roman" w:hAnsi="Times New Roman" w:cs="Times New Roman"/>
          <w:sz w:val="18"/>
          <w:szCs w:val="18"/>
          <w:vertAlign w:val="superscript"/>
          <w:lang w:eastAsia="ja-JP"/>
        </w:rPr>
        <w:t>19</w:t>
      </w:r>
      <w:r w:rsidRPr="002C1A46">
        <w:rPr>
          <w:rFonts w:ascii="Times New Roman" w:hAnsi="Times New Roman" w:cs="Times New Roman"/>
          <w:sz w:val="18"/>
          <w:szCs w:val="18"/>
          <w:lang w:eastAsia="ja-JP"/>
        </w:rPr>
        <w:t xml:space="preserve"> has been widely used to generate three-dimensional atomic configurations consistent with given diffraction data. To investigate the intermediate-range order of P</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Hoppe </w:t>
      </w:r>
      <w:r w:rsidRPr="002C1A46">
        <w:rPr>
          <w:rFonts w:ascii="Times New Roman" w:hAnsi="Times New Roman" w:cs="Times New Roman"/>
          <w:sz w:val="18"/>
          <w:szCs w:val="18"/>
          <w:lang w:eastAsia="ja-JP"/>
        </w:rPr>
        <w:lastRenderedPageBreak/>
        <w:t>performed RMC modelling on the basis of neutron and X-ray diffraction data, imposing geometric constraints on NBOs and BOs to reproduce Q</w:t>
      </w:r>
      <w:r w:rsidRPr="002C1A46">
        <w:rPr>
          <w:rFonts w:ascii="Times New Roman" w:hAnsi="Times New Roman" w:cs="Times New Roman"/>
          <w:sz w:val="18"/>
          <w:szCs w:val="18"/>
          <w:vertAlign w:val="superscript"/>
          <w:lang w:eastAsia="ja-JP"/>
        </w:rPr>
        <w:t>3</w:t>
      </w:r>
      <w:r w:rsidRPr="002C1A46">
        <w:rPr>
          <w:rFonts w:ascii="Times New Roman" w:hAnsi="Times New Roman" w:cs="Times New Roman"/>
          <w:sz w:val="18"/>
          <w:szCs w:val="18"/>
          <w:lang w:eastAsia="ja-JP"/>
        </w:rPr>
        <w:t xml:space="preserve"> units.</w:t>
      </w:r>
      <w:r w:rsidRPr="002C1A46">
        <w:rPr>
          <w:rFonts w:ascii="Times New Roman" w:hAnsi="Times New Roman" w:cs="Times New Roman"/>
          <w:sz w:val="18"/>
          <w:szCs w:val="18"/>
          <w:vertAlign w:val="superscript"/>
          <w:lang w:eastAsia="ja-JP"/>
        </w:rPr>
        <w:t>20</w:t>
      </w:r>
      <w:r w:rsidRPr="002C1A46">
        <w:rPr>
          <w:rFonts w:ascii="Times New Roman" w:hAnsi="Times New Roman" w:cs="Times New Roman"/>
          <w:sz w:val="18"/>
          <w:szCs w:val="18"/>
          <w:lang w:eastAsia="ja-JP"/>
        </w:rPr>
        <w:t xml:space="preserve"> The resulting RMC model suggested the formation of flattened network cages and attributed the first peak observed at </w:t>
      </w:r>
      <w:r w:rsidRPr="002C1A46">
        <w:rPr>
          <w:rFonts w:ascii="Times New Roman" w:hAnsi="Times New Roman" w:cs="Times New Roman"/>
          <w:i/>
          <w:iCs/>
          <w:sz w:val="18"/>
          <w:szCs w:val="18"/>
          <w:lang w:eastAsia="ja-JP"/>
        </w:rPr>
        <w:t>Q</w:t>
      </w:r>
      <w:r w:rsidRPr="002C1A46">
        <w:rPr>
          <w:rFonts w:ascii="Times New Roman" w:hAnsi="Times New Roman" w:cs="Times New Roman"/>
          <w:sz w:val="18"/>
          <w:szCs w:val="18"/>
          <w:lang w:eastAsia="ja-JP"/>
        </w:rPr>
        <w:t xml:space="preserve"> ~ 1.3 Å</w:t>
      </w:r>
      <w:r w:rsidR="00261DAD" w:rsidRPr="002C1A46">
        <w:rPr>
          <w:rFonts w:ascii="Times New Roman" w:hAnsi="Times New Roman" w:cs="Times New Roman"/>
          <w:sz w:val="18"/>
          <w:szCs w:val="18"/>
          <w:vertAlign w:val="superscript"/>
          <w:lang w:eastAsia="ja-JP"/>
        </w:rPr>
        <w:t>–</w:t>
      </w:r>
      <w:r w:rsidRPr="002C1A46">
        <w:rPr>
          <w:rFonts w:ascii="Times New Roman" w:hAnsi="Times New Roman" w:cs="Times New Roman"/>
          <w:sz w:val="18"/>
          <w:szCs w:val="18"/>
          <w:vertAlign w:val="superscript"/>
          <w:lang w:eastAsia="ja-JP"/>
        </w:rPr>
        <w:t>1</w:t>
      </w:r>
      <w:r w:rsidRPr="002C1A46">
        <w:rPr>
          <w:rFonts w:ascii="Times New Roman" w:hAnsi="Times New Roman" w:cs="Times New Roman"/>
          <w:sz w:val="18"/>
          <w:szCs w:val="18"/>
          <w:lang w:eastAsia="ja-JP"/>
        </w:rPr>
        <w:t xml:space="preserve"> in the X-ray and neutron structure factors to a characteristic lateral cage dimension of approximately 4.7 </w:t>
      </w:r>
      <w:r w:rsidR="00261DAD" w:rsidRPr="002C1A46">
        <w:rPr>
          <w:rFonts w:ascii="Times New Roman" w:hAnsi="Times New Roman" w:cs="Times New Roman"/>
          <w:sz w:val="18"/>
          <w:szCs w:val="18"/>
          <w:lang w:eastAsia="ja-JP"/>
        </w:rPr>
        <w:t>Å</w:t>
      </w:r>
      <w:r w:rsidRPr="002C1A46">
        <w:rPr>
          <w:rFonts w:ascii="Times New Roman" w:hAnsi="Times New Roman" w:cs="Times New Roman"/>
          <w:sz w:val="18"/>
          <w:szCs w:val="18"/>
          <w:lang w:eastAsia="ja-JP"/>
        </w:rPr>
        <w:t>. However, although multiple diffraction peaks are observed in the structure factors of P</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their structural origins remain unclear. In particular, while the lowest-</w:t>
      </w:r>
      <w:r w:rsidRPr="002C1A46">
        <w:rPr>
          <w:rFonts w:ascii="Times New Roman" w:hAnsi="Times New Roman" w:cs="Times New Roman"/>
          <w:i/>
          <w:iCs/>
          <w:sz w:val="18"/>
          <w:szCs w:val="18"/>
          <w:lang w:eastAsia="ja-JP"/>
        </w:rPr>
        <w:t>Q</w:t>
      </w:r>
      <w:r w:rsidRPr="002C1A46">
        <w:rPr>
          <w:rFonts w:ascii="Times New Roman" w:hAnsi="Times New Roman" w:cs="Times New Roman"/>
          <w:sz w:val="18"/>
          <w:szCs w:val="18"/>
          <w:lang w:eastAsia="ja-JP"/>
        </w:rPr>
        <w:t xml:space="preserve"> peak has been attributed to cage-like structures, the origins of the other peaks have not been systematically clarified. This limitation largely stems from the lack of effective structural descriptors for analysing atomic configurations in disordered materials; however, recent advances in simulation and analytical techniques have enabled more detailed investigations of disordered arrangements,</w:t>
      </w:r>
      <w:r w:rsidRPr="002C1A46">
        <w:rPr>
          <w:rFonts w:ascii="Times New Roman" w:hAnsi="Times New Roman" w:cs="Times New Roman"/>
          <w:sz w:val="18"/>
          <w:szCs w:val="18"/>
          <w:vertAlign w:val="superscript"/>
          <w:lang w:eastAsia="ja-JP"/>
        </w:rPr>
        <w:t>21,22</w:t>
      </w:r>
      <w:r w:rsidRPr="002C1A46">
        <w:rPr>
          <w:rFonts w:ascii="Times New Roman" w:hAnsi="Times New Roman" w:cs="Times New Roman"/>
          <w:sz w:val="18"/>
          <w:szCs w:val="18"/>
          <w:lang w:eastAsia="ja-JP"/>
        </w:rPr>
        <w:t xml:space="preserve"> particularly through topological analyses for characterizing ring size distribution</w:t>
      </w:r>
      <w:r w:rsidRPr="002C1A46">
        <w:rPr>
          <w:rFonts w:ascii="Times New Roman" w:hAnsi="Times New Roman" w:cs="Times New Roman"/>
          <w:sz w:val="18"/>
          <w:szCs w:val="18"/>
          <w:vertAlign w:val="superscript"/>
          <w:lang w:eastAsia="ja-JP"/>
        </w:rPr>
        <w:t>23</w:t>
      </w:r>
      <w:r w:rsidRPr="002C1A46">
        <w:rPr>
          <w:rFonts w:ascii="Times New Roman" w:hAnsi="Times New Roman" w:cs="Times New Roman"/>
          <w:sz w:val="18"/>
          <w:szCs w:val="18"/>
          <w:lang w:eastAsia="ja-JP"/>
        </w:rPr>
        <w:t xml:space="preserve"> and cavities.</w:t>
      </w:r>
      <w:r w:rsidR="00143A4B" w:rsidRPr="002C1A46">
        <w:rPr>
          <w:rFonts w:ascii="Times New Roman" w:hAnsi="Times New Roman" w:cs="Times New Roman"/>
          <w:sz w:val="18"/>
          <w:szCs w:val="18"/>
          <w:vertAlign w:val="superscript"/>
          <w:lang w:eastAsia="ja-JP"/>
        </w:rPr>
        <w:t>24</w:t>
      </w:r>
    </w:p>
    <w:p w14:paraId="788E9F69" w14:textId="1B433BF8" w:rsidR="008B7D27" w:rsidRPr="002C1A46" w:rsidRDefault="00266B0B" w:rsidP="004367C4">
      <w:pPr>
        <w:spacing w:after="0"/>
        <w:ind w:firstLineChars="150" w:firstLine="27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In this work, we aim to elucidate the intermediate-range order in P</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O</w:t>
      </w:r>
      <w:r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by investigating the origin of the diffraction peaks. To this end, we construct a reliable structural model of </w:t>
      </w:r>
      <w:r w:rsidR="009F71DD" w:rsidRPr="002C1A46">
        <w:rPr>
          <w:rFonts w:ascii="Times New Roman" w:hAnsi="Times New Roman" w:cs="Times New Roman"/>
          <w:sz w:val="18"/>
          <w:szCs w:val="18"/>
          <w:lang w:eastAsia="ja-JP"/>
        </w:rPr>
        <w:t>P</w:t>
      </w:r>
      <w:r w:rsidR="009F71DD" w:rsidRPr="002C1A46">
        <w:rPr>
          <w:rFonts w:ascii="Times New Roman" w:hAnsi="Times New Roman" w:cs="Times New Roman"/>
          <w:sz w:val="18"/>
          <w:szCs w:val="18"/>
          <w:vertAlign w:val="subscript"/>
          <w:lang w:eastAsia="ja-JP"/>
        </w:rPr>
        <w:t>2</w:t>
      </w:r>
      <w:r w:rsidR="009F71DD" w:rsidRPr="002C1A46">
        <w:rPr>
          <w:rFonts w:ascii="Times New Roman" w:hAnsi="Times New Roman" w:cs="Times New Roman"/>
          <w:sz w:val="18"/>
          <w:szCs w:val="18"/>
          <w:lang w:eastAsia="ja-JP"/>
        </w:rPr>
        <w:t>O</w:t>
      </w:r>
      <w:r w:rsidR="009F71DD" w:rsidRPr="002C1A46">
        <w:rPr>
          <w:rFonts w:ascii="Times New Roman" w:hAnsi="Times New Roman" w:cs="Times New Roman"/>
          <w:sz w:val="18"/>
          <w:szCs w:val="18"/>
          <w:vertAlign w:val="subscript"/>
          <w:lang w:eastAsia="ja-JP"/>
        </w:rPr>
        <w:t>5</w:t>
      </w:r>
      <w:r w:rsidRPr="002C1A46">
        <w:rPr>
          <w:rFonts w:ascii="Times New Roman" w:hAnsi="Times New Roman" w:cs="Times New Roman"/>
          <w:sz w:val="18"/>
          <w:szCs w:val="18"/>
          <w:lang w:eastAsia="ja-JP"/>
        </w:rPr>
        <w:t xml:space="preserve"> glass using combined RMC–MD modelling</w:t>
      </w:r>
      <w:r w:rsidRPr="002C1A46">
        <w:rPr>
          <w:rFonts w:ascii="Times New Roman" w:hAnsi="Times New Roman" w:cs="Times New Roman"/>
          <w:sz w:val="18"/>
          <w:szCs w:val="18"/>
          <w:vertAlign w:val="superscript"/>
          <w:lang w:eastAsia="ja-JP"/>
        </w:rPr>
        <w:t>25,26</w:t>
      </w:r>
      <w:r w:rsidRPr="002C1A46">
        <w:rPr>
          <w:rFonts w:ascii="Times New Roman" w:hAnsi="Times New Roman" w:cs="Times New Roman"/>
          <w:sz w:val="18"/>
          <w:szCs w:val="18"/>
          <w:lang w:eastAsia="ja-JP"/>
        </w:rPr>
        <w:t xml:space="preserve"> in conjunction with ND and high-energy XRD data. Ring size distribution and cavity analyses are applied to the resulting model to identify the structural origins of the diffraction peaks. Our results reveal the formation of two distinct intermediate-range orders with different length scales, arising from inter-ring and intra-ring correlations. Such coexistence has not been reported for typical network-forming oxides such as SiO</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 xml:space="preserve"> and is therefore considered a unique structural feature of </w:t>
      </w:r>
      <w:r w:rsidR="00C24E91" w:rsidRPr="002C1A46">
        <w:rPr>
          <w:rFonts w:ascii="Times New Roman" w:hAnsi="Times New Roman" w:cs="Times New Roman"/>
          <w:sz w:val="18"/>
          <w:szCs w:val="18"/>
          <w:lang w:eastAsia="ja-JP"/>
        </w:rPr>
        <w:t>P</w:t>
      </w:r>
      <w:r w:rsidR="00C24E91" w:rsidRPr="002C1A46">
        <w:rPr>
          <w:rFonts w:ascii="Times New Roman" w:hAnsi="Times New Roman" w:cs="Times New Roman"/>
          <w:sz w:val="18"/>
          <w:szCs w:val="18"/>
          <w:vertAlign w:val="subscript"/>
          <w:lang w:eastAsia="ja-JP"/>
        </w:rPr>
        <w:t>2</w:t>
      </w:r>
      <w:r w:rsidR="00C24E91" w:rsidRPr="002C1A46">
        <w:rPr>
          <w:rFonts w:ascii="Times New Roman" w:hAnsi="Times New Roman" w:cs="Times New Roman"/>
          <w:sz w:val="18"/>
          <w:szCs w:val="18"/>
          <w:lang w:eastAsia="ja-JP"/>
        </w:rPr>
        <w:t>O</w:t>
      </w:r>
      <w:r w:rsidR="00C24E91" w:rsidRPr="002C1A46">
        <w:rPr>
          <w:rFonts w:ascii="Times New Roman" w:hAnsi="Times New Roman" w:cs="Times New Roman"/>
          <w:sz w:val="18"/>
          <w:szCs w:val="18"/>
          <w:vertAlign w:val="subscript"/>
          <w:lang w:eastAsia="ja-JP"/>
        </w:rPr>
        <w:t>5</w:t>
      </w:r>
      <w:r w:rsidR="00C24E91" w:rsidRPr="002C1A46">
        <w:rPr>
          <w:rFonts w:ascii="Times New Roman" w:hAnsi="Times New Roman" w:cs="Times New Roman"/>
          <w:sz w:val="18"/>
          <w:szCs w:val="18"/>
          <w:lang w:eastAsia="ja-JP"/>
        </w:rPr>
        <w:t xml:space="preserve"> glass</w:t>
      </w:r>
      <w:r w:rsidRPr="002C1A46">
        <w:rPr>
          <w:rFonts w:ascii="Times New Roman" w:hAnsi="Times New Roman" w:cs="Times New Roman"/>
          <w:sz w:val="18"/>
          <w:szCs w:val="18"/>
          <w:lang w:eastAsia="ja-JP"/>
        </w:rPr>
        <w:t>. Furthermore, these intermediate-range orders can be rationalized as emerging from Q</w:t>
      </w:r>
      <w:r w:rsidRPr="002C1A46">
        <w:rPr>
          <w:rFonts w:ascii="Times New Roman" w:hAnsi="Times New Roman" w:cs="Times New Roman"/>
          <w:sz w:val="18"/>
          <w:szCs w:val="18"/>
          <w:vertAlign w:val="superscript"/>
          <w:lang w:eastAsia="ja-JP"/>
        </w:rPr>
        <w:t>3</w:t>
      </w:r>
      <w:r w:rsidRPr="002C1A46">
        <w:rPr>
          <w:rFonts w:ascii="Times New Roman" w:hAnsi="Times New Roman" w:cs="Times New Roman"/>
          <w:sz w:val="18"/>
          <w:szCs w:val="18"/>
          <w:lang w:eastAsia="ja-JP"/>
        </w:rPr>
        <w:t xml:space="preserve"> structural units, which act as the fundamental motifs governing the short-range order in </w:t>
      </w:r>
      <w:r w:rsidR="00C24E91" w:rsidRPr="002C1A46">
        <w:rPr>
          <w:rFonts w:ascii="Times New Roman" w:hAnsi="Times New Roman" w:cs="Times New Roman"/>
          <w:sz w:val="18"/>
          <w:szCs w:val="18"/>
          <w:lang w:eastAsia="ja-JP"/>
        </w:rPr>
        <w:t>P</w:t>
      </w:r>
      <w:r w:rsidR="00C24E91" w:rsidRPr="002C1A46">
        <w:rPr>
          <w:rFonts w:ascii="Times New Roman" w:hAnsi="Times New Roman" w:cs="Times New Roman"/>
          <w:sz w:val="18"/>
          <w:szCs w:val="18"/>
          <w:vertAlign w:val="subscript"/>
          <w:lang w:eastAsia="ja-JP"/>
        </w:rPr>
        <w:t>2</w:t>
      </w:r>
      <w:r w:rsidR="00C24E91" w:rsidRPr="002C1A46">
        <w:rPr>
          <w:rFonts w:ascii="Times New Roman" w:hAnsi="Times New Roman" w:cs="Times New Roman"/>
          <w:sz w:val="18"/>
          <w:szCs w:val="18"/>
          <w:lang w:eastAsia="ja-JP"/>
        </w:rPr>
        <w:t>O</w:t>
      </w:r>
      <w:r w:rsidR="00C24E91" w:rsidRPr="002C1A46">
        <w:rPr>
          <w:rFonts w:ascii="Times New Roman" w:hAnsi="Times New Roman" w:cs="Times New Roman"/>
          <w:sz w:val="18"/>
          <w:szCs w:val="18"/>
          <w:vertAlign w:val="subscript"/>
          <w:lang w:eastAsia="ja-JP"/>
        </w:rPr>
        <w:t>5</w:t>
      </w:r>
      <w:r w:rsidR="00C24E91" w:rsidRPr="002C1A46">
        <w:rPr>
          <w:rFonts w:ascii="Times New Roman" w:hAnsi="Times New Roman" w:cs="Times New Roman"/>
          <w:sz w:val="18"/>
          <w:szCs w:val="18"/>
          <w:lang w:eastAsia="ja-JP"/>
        </w:rPr>
        <w:t xml:space="preserve"> glass</w:t>
      </w:r>
      <w:r w:rsidRPr="002C1A46">
        <w:rPr>
          <w:rFonts w:ascii="Times New Roman" w:hAnsi="Times New Roman" w:cs="Times New Roman"/>
          <w:sz w:val="18"/>
          <w:szCs w:val="18"/>
          <w:lang w:eastAsia="ja-JP"/>
        </w:rPr>
        <w:t>. Understanding these structural origins is essential for linking diffraction pattens to network topology in disordered materials.</w:t>
      </w:r>
    </w:p>
    <w:p w14:paraId="493BF3BF" w14:textId="42EB79CA" w:rsidR="008B7D27" w:rsidRPr="002C1A46" w:rsidRDefault="00DD36E6" w:rsidP="003D7A50">
      <w:pPr>
        <w:pStyle w:val="RSCB04AHeadingSection"/>
        <w:numPr>
          <w:ilvl w:val="0"/>
          <w:numId w:val="13"/>
        </w:numPr>
        <w:rPr>
          <w:lang w:eastAsia="ja-JP"/>
        </w:rPr>
      </w:pPr>
      <w:r w:rsidRPr="002C1A46">
        <w:t>Methods</w:t>
      </w:r>
    </w:p>
    <w:p w14:paraId="4425B16D" w14:textId="37187E4C" w:rsidR="004D246C" w:rsidRPr="002C1A46" w:rsidRDefault="003D7A50" w:rsidP="004D246C">
      <w:pPr>
        <w:pStyle w:val="RSCB06BHeadingSub-Section"/>
      </w:pPr>
      <w:r w:rsidRPr="002C1A46">
        <w:t xml:space="preserve">2.1 </w:t>
      </w:r>
      <w:r w:rsidR="00DD36E6" w:rsidRPr="002C1A46">
        <w:t>Diffraction theory</w:t>
      </w:r>
    </w:p>
    <w:p w14:paraId="6AC559F7" w14:textId="3C8C87F0" w:rsidR="00DD36E6" w:rsidRPr="002C1A46" w:rsidRDefault="00DD36E6" w:rsidP="008B7D27">
      <w:pPr>
        <w:spacing w:after="0"/>
        <w:jc w:val="both"/>
        <w:rPr>
          <w:rFonts w:ascii="Times New Roman" w:hAnsi="Times New Roman" w:cs="Times New Roman"/>
          <w:sz w:val="18"/>
          <w:szCs w:val="18"/>
        </w:rPr>
      </w:pPr>
      <w:r w:rsidRPr="002C1A46">
        <w:rPr>
          <w:rFonts w:ascii="Times New Roman" w:hAnsi="Times New Roman" w:cs="Times New Roman"/>
          <w:sz w:val="18"/>
          <w:szCs w:val="18"/>
        </w:rPr>
        <w:t>High-quality ND and high-energy XRD data for P</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O</w:t>
      </w:r>
      <w:r w:rsidRPr="002C1A46">
        <w:rPr>
          <w:rFonts w:ascii="Times New Roman" w:hAnsi="Times New Roman" w:cs="Times New Roman"/>
          <w:sz w:val="18"/>
          <w:szCs w:val="18"/>
          <w:vertAlign w:val="subscript"/>
        </w:rPr>
        <w:t>5</w:t>
      </w:r>
      <w:r w:rsidRPr="002C1A46">
        <w:rPr>
          <w:rFonts w:ascii="Times New Roman" w:hAnsi="Times New Roman" w:cs="Times New Roman"/>
          <w:sz w:val="18"/>
          <w:szCs w:val="18"/>
          <w:vertAlign w:val="superscript"/>
        </w:rPr>
        <w:t>14,16</w:t>
      </w:r>
      <w:r w:rsidRPr="002C1A46">
        <w:rPr>
          <w:rFonts w:ascii="Times New Roman" w:hAnsi="Times New Roman" w:cs="Times New Roman"/>
          <w:sz w:val="18"/>
          <w:szCs w:val="18"/>
        </w:rPr>
        <w:t xml:space="preserve"> and SiO</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vertAlign w:val="superscript"/>
        </w:rPr>
        <w:t>26</w:t>
      </w:r>
      <w:r w:rsidRPr="002C1A46">
        <w:rPr>
          <w:rFonts w:ascii="Times New Roman" w:hAnsi="Times New Roman" w:cs="Times New Roman"/>
          <w:sz w:val="18"/>
          <w:szCs w:val="18"/>
        </w:rPr>
        <w:t xml:space="preserve"> glasses were obtained from the literature</w:t>
      </w:r>
      <w:r w:rsidR="009D210D" w:rsidRPr="002C1A46">
        <w:rPr>
          <w:rFonts w:ascii="Times New Roman" w:hAnsi="Times New Roman" w:cs="Times New Roman"/>
          <w:sz w:val="18"/>
          <w:szCs w:val="18"/>
        </w:rPr>
        <w:t>s</w:t>
      </w:r>
      <w:r w:rsidRPr="002C1A46">
        <w:rPr>
          <w:rFonts w:ascii="Times New Roman" w:hAnsi="Times New Roman" w:cs="Times New Roman"/>
          <w:sz w:val="18"/>
          <w:szCs w:val="18"/>
        </w:rPr>
        <w:t xml:space="preserve">. </w:t>
      </w:r>
      <w:r w:rsidR="009125DA" w:rsidRPr="002C1A46">
        <w:rPr>
          <w:rFonts w:ascii="Times New Roman" w:hAnsi="Times New Roman" w:cs="Times New Roman"/>
          <w:sz w:val="18"/>
          <w:szCs w:val="18"/>
        </w:rPr>
        <w:t>According to the original report</w:t>
      </w:r>
      <w:r w:rsidR="00465079" w:rsidRPr="002C1A46">
        <w:rPr>
          <w:rFonts w:ascii="Times New Roman" w:hAnsi="Times New Roman" w:cs="Times New Roman"/>
          <w:sz w:val="18"/>
          <w:szCs w:val="18"/>
        </w:rPr>
        <w:t>,</w:t>
      </w:r>
      <w:r w:rsidR="009125DA" w:rsidRPr="002C1A46">
        <w:rPr>
          <w:rFonts w:ascii="Times New Roman" w:hAnsi="Times New Roman" w:cs="Times New Roman"/>
          <w:sz w:val="18"/>
          <w:szCs w:val="18"/>
          <w:vertAlign w:val="superscript"/>
        </w:rPr>
        <w:t>27</w:t>
      </w:r>
      <w:r w:rsidR="009125DA" w:rsidRPr="002C1A46">
        <w:rPr>
          <w:rFonts w:ascii="Times New Roman" w:hAnsi="Times New Roman" w:cs="Times New Roman"/>
          <w:sz w:val="18"/>
          <w:szCs w:val="18"/>
        </w:rPr>
        <w:t xml:space="preserve"> the P</w:t>
      </w:r>
      <w:r w:rsidR="009125DA" w:rsidRPr="002C1A46">
        <w:rPr>
          <w:rFonts w:ascii="Times New Roman" w:hAnsi="Times New Roman" w:cs="Times New Roman"/>
          <w:sz w:val="18"/>
          <w:szCs w:val="18"/>
          <w:vertAlign w:val="subscript"/>
        </w:rPr>
        <w:t>2</w:t>
      </w:r>
      <w:r w:rsidR="009125DA" w:rsidRPr="002C1A46">
        <w:rPr>
          <w:rFonts w:ascii="Times New Roman" w:hAnsi="Times New Roman" w:cs="Times New Roman"/>
          <w:sz w:val="18"/>
          <w:szCs w:val="18"/>
        </w:rPr>
        <w:t>O</w:t>
      </w:r>
      <w:r w:rsidR="009125DA" w:rsidRPr="002C1A46">
        <w:rPr>
          <w:rFonts w:ascii="Times New Roman" w:hAnsi="Times New Roman" w:cs="Times New Roman"/>
          <w:sz w:val="18"/>
          <w:szCs w:val="18"/>
          <w:vertAlign w:val="subscript"/>
        </w:rPr>
        <w:t>5</w:t>
      </w:r>
      <w:r w:rsidR="009125DA" w:rsidRPr="002C1A46">
        <w:rPr>
          <w:rFonts w:ascii="Times New Roman" w:hAnsi="Times New Roman" w:cs="Times New Roman"/>
          <w:sz w:val="18"/>
          <w:szCs w:val="18"/>
        </w:rPr>
        <w:t xml:space="preserve"> glass used in the diffraction experiments was prepared by a rapid quenching method. A high-purity P</w:t>
      </w:r>
      <w:r w:rsidR="009125DA" w:rsidRPr="002C1A46">
        <w:rPr>
          <w:rFonts w:ascii="Times New Roman" w:hAnsi="Times New Roman" w:cs="Times New Roman"/>
          <w:sz w:val="18"/>
          <w:szCs w:val="18"/>
          <w:vertAlign w:val="subscript"/>
        </w:rPr>
        <w:t>4</w:t>
      </w:r>
      <w:r w:rsidR="009125DA" w:rsidRPr="002C1A46">
        <w:rPr>
          <w:rFonts w:ascii="Times New Roman" w:hAnsi="Times New Roman" w:cs="Times New Roman"/>
          <w:sz w:val="18"/>
          <w:szCs w:val="18"/>
        </w:rPr>
        <w:t>O</w:t>
      </w:r>
      <w:r w:rsidR="009125DA" w:rsidRPr="002C1A46">
        <w:rPr>
          <w:rFonts w:ascii="Times New Roman" w:hAnsi="Times New Roman" w:cs="Times New Roman"/>
          <w:sz w:val="18"/>
          <w:szCs w:val="18"/>
          <w:vertAlign w:val="subscript"/>
        </w:rPr>
        <w:t>10</w:t>
      </w:r>
      <w:r w:rsidR="009125DA" w:rsidRPr="002C1A46">
        <w:rPr>
          <w:rFonts w:ascii="Times New Roman" w:hAnsi="Times New Roman" w:cs="Times New Roman"/>
          <w:sz w:val="18"/>
          <w:szCs w:val="18"/>
        </w:rPr>
        <w:t xml:space="preserve"> powder was quickly loaded into a SiO</w:t>
      </w:r>
      <w:r w:rsidR="009125DA" w:rsidRPr="002C1A46">
        <w:rPr>
          <w:rFonts w:ascii="Times New Roman" w:hAnsi="Times New Roman" w:cs="Times New Roman"/>
          <w:sz w:val="18"/>
          <w:szCs w:val="18"/>
          <w:vertAlign w:val="subscript"/>
        </w:rPr>
        <w:t>2</w:t>
      </w:r>
      <w:r w:rsidR="009125DA" w:rsidRPr="002C1A46">
        <w:rPr>
          <w:rFonts w:ascii="Times New Roman" w:hAnsi="Times New Roman" w:cs="Times New Roman"/>
          <w:sz w:val="18"/>
          <w:szCs w:val="18"/>
        </w:rPr>
        <w:t xml:space="preserve"> glass tube, which was immediately evacuated and sealed to minimize water adsorption (estimated to be at most 0.04 mol%). The sealed tube was melted at 1050 ℃ for 2 h, tempered at 600 ℃, and then cooled down by switching off the oven. For the SiO</w:t>
      </w:r>
      <w:r w:rsidR="009125DA" w:rsidRPr="002C1A46">
        <w:rPr>
          <w:rFonts w:ascii="Times New Roman" w:hAnsi="Times New Roman" w:cs="Times New Roman"/>
          <w:sz w:val="18"/>
          <w:szCs w:val="18"/>
          <w:vertAlign w:val="subscript"/>
        </w:rPr>
        <w:t>2</w:t>
      </w:r>
      <w:r w:rsidR="009125DA" w:rsidRPr="002C1A46">
        <w:rPr>
          <w:rFonts w:ascii="Times New Roman" w:hAnsi="Times New Roman" w:cs="Times New Roman"/>
          <w:sz w:val="18"/>
          <w:szCs w:val="18"/>
        </w:rPr>
        <w:t xml:space="preserve"> glass, synthetic fused SiO</w:t>
      </w:r>
      <w:r w:rsidR="009125DA" w:rsidRPr="002C1A46">
        <w:rPr>
          <w:rFonts w:ascii="Times New Roman" w:hAnsi="Times New Roman" w:cs="Times New Roman"/>
          <w:sz w:val="18"/>
          <w:szCs w:val="18"/>
          <w:vertAlign w:val="subscript"/>
        </w:rPr>
        <w:t>2</w:t>
      </w:r>
      <w:r w:rsidR="009125DA" w:rsidRPr="002C1A46">
        <w:rPr>
          <w:rFonts w:ascii="Times New Roman" w:hAnsi="Times New Roman" w:cs="Times New Roman"/>
          <w:sz w:val="18"/>
          <w:szCs w:val="18"/>
        </w:rPr>
        <w:t xml:space="preserve"> purchased from Tosoh Corp. was used in the diffraction experiments.</w:t>
      </w:r>
      <w:r w:rsidR="00B779B9" w:rsidRPr="002C1A46">
        <w:rPr>
          <w:rFonts w:ascii="Times New Roman" w:hAnsi="Times New Roman" w:cs="Times New Roman"/>
          <w:sz w:val="18"/>
          <w:szCs w:val="18"/>
        </w:rPr>
        <w:t xml:space="preserve"> </w:t>
      </w:r>
      <w:r w:rsidRPr="002C1A46">
        <w:rPr>
          <w:rFonts w:ascii="Times New Roman" w:hAnsi="Times New Roman" w:cs="Times New Roman"/>
          <w:sz w:val="18"/>
          <w:szCs w:val="18"/>
        </w:rPr>
        <w:t>For binary glassy systems such as P</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O</w:t>
      </w:r>
      <w:r w:rsidRPr="002C1A46">
        <w:rPr>
          <w:rFonts w:ascii="Times New Roman" w:hAnsi="Times New Roman" w:cs="Times New Roman"/>
          <w:sz w:val="18"/>
          <w:szCs w:val="18"/>
          <w:vertAlign w:val="subscript"/>
        </w:rPr>
        <w:t>5</w:t>
      </w:r>
      <w:r w:rsidRPr="002C1A46">
        <w:rPr>
          <w:rFonts w:ascii="Times New Roman" w:hAnsi="Times New Roman" w:cs="Times New Roman"/>
          <w:sz w:val="18"/>
          <w:szCs w:val="18"/>
        </w:rPr>
        <w:t xml:space="preserve"> (A</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X</w:t>
      </w:r>
      <w:r w:rsidRPr="002C1A46">
        <w:rPr>
          <w:rFonts w:ascii="Times New Roman" w:hAnsi="Times New Roman" w:cs="Times New Roman"/>
          <w:sz w:val="18"/>
          <w:szCs w:val="18"/>
          <w:vertAlign w:val="subscript"/>
        </w:rPr>
        <w:t>5</w:t>
      </w:r>
      <w:r w:rsidRPr="002C1A46">
        <w:rPr>
          <w:rFonts w:ascii="Times New Roman" w:hAnsi="Times New Roman" w:cs="Times New Roman"/>
          <w:sz w:val="18"/>
          <w:szCs w:val="18"/>
        </w:rPr>
        <w:t>) and SiO</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 xml:space="preserve"> (AX</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 the normalized coherent scattering intensity obtained by ND and XRD can be expressed in terms of the total structure factor:</w:t>
      </w:r>
    </w:p>
    <w:p w14:paraId="46C79BF9" w14:textId="15E6E452" w:rsidR="00DD36E6" w:rsidRPr="002C1A46" w:rsidRDefault="00DD36E6" w:rsidP="008B7D27">
      <w:pPr>
        <w:spacing w:after="0"/>
        <w:jc w:val="both"/>
        <w:rPr>
          <w:rFonts w:ascii="Times New Roman" w:hAnsi="Times New Roman" w:cs="Times New Roman"/>
          <w:sz w:val="18"/>
          <w:szCs w:val="18"/>
        </w:rPr>
      </w:pPr>
    </w:p>
    <w:p w14:paraId="2D50AC70" w14:textId="1767D307" w:rsidR="00616F26" w:rsidRPr="002C1A46" w:rsidRDefault="001250A9" w:rsidP="00616F26">
      <w:pPr>
        <w:spacing w:after="0"/>
        <w:jc w:val="both"/>
        <w:rPr>
          <w:rFonts w:ascii="Times New Roman" w:hAnsi="Times New Roman" w:cs="Times New Roman"/>
          <w:sz w:val="18"/>
          <w:szCs w:val="18"/>
        </w:rPr>
      </w:pPr>
      <m:oMath>
        <m:r>
          <m:rPr>
            <m:nor/>
          </m:rPr>
          <w:rPr>
            <w:rFonts w:ascii="Cambria Math" w:hAnsi="Times New Roman" w:cs="Times New Roman"/>
            <w:sz w:val="18"/>
            <w:szCs w:val="18"/>
          </w:rPr>
          <m:t xml:space="preserve"> </m:t>
        </m:r>
        <m:r>
          <m:rPr>
            <m:nor/>
          </m:rPr>
          <w:rPr>
            <w:rFonts w:ascii="Times New Roman" w:hAnsi="Times New Roman" w:cs="Times New Roman"/>
            <w:i/>
            <w:iCs/>
            <w:sz w:val="18"/>
            <w:szCs w:val="18"/>
          </w:rPr>
          <m:t>S</m:t>
        </m:r>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1 +</m:t>
        </m:r>
        <m:f>
          <m:fPr>
            <m:ctrlPr>
              <w:rPr>
                <w:rFonts w:ascii="Cambria Math" w:hAnsi="Cambria Math" w:cs="Times New Roman"/>
                <w:sz w:val="18"/>
                <w:szCs w:val="18"/>
              </w:rPr>
            </m:ctrlPr>
          </m:fPr>
          <m:num>
            <m:sSubSup>
              <m:sSubSupPr>
                <m:ctrlPr>
                  <w:rPr>
                    <w:rFonts w:ascii="Cambria Math" w:hAnsi="Cambria Math" w:cs="Times New Roman"/>
                    <w:sz w:val="18"/>
                    <w:szCs w:val="18"/>
                  </w:rPr>
                </m:ctrlPr>
              </m:sSubSup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up>
                <m:r>
                  <m:rPr>
                    <m:nor/>
                  </m:rPr>
                  <w:rPr>
                    <w:rFonts w:ascii="Times New Roman" w:hAnsi="Times New Roman" w:cs="Times New Roman"/>
                    <w:sz w:val="18"/>
                    <w:szCs w:val="18"/>
                  </w:rPr>
                  <m:t>2</m:t>
                </m:r>
              </m:sup>
            </m:sSubSup>
            <m:sSubSup>
              <m:sSubSupPr>
                <m:ctrlPr>
                  <w:rPr>
                    <w:rFonts w:ascii="Cambria Math" w:hAnsi="Cambria Math" w:cs="Times New Roman"/>
                    <w:sz w:val="18"/>
                    <w:szCs w:val="18"/>
                  </w:rPr>
                </m:ctrlPr>
              </m:sSubSupPr>
              <m:e>
                <m:r>
                  <m:rPr>
                    <m:nor/>
                  </m:rPr>
                  <w:rPr>
                    <w:rFonts w:ascii="Times New Roman" w:hAnsi="Times New Roman" w:cs="Times New Roman"/>
                    <w:i/>
                    <w:iCs/>
                    <w:sz w:val="18"/>
                    <w:szCs w:val="18"/>
                  </w:rPr>
                  <m:t>w</m:t>
                </m:r>
              </m:e>
              <m:sub>
                <m:r>
                  <m:rPr>
                    <m:nor/>
                  </m:rPr>
                  <w:rPr>
                    <w:rFonts w:ascii="Times New Roman" w:hAnsi="Times New Roman" w:cs="Times New Roman"/>
                    <w:sz w:val="18"/>
                    <w:szCs w:val="18"/>
                  </w:rPr>
                  <m:t>A</m:t>
                </m:r>
              </m:sub>
              <m:sup>
                <m:r>
                  <m:rPr>
                    <m:nor/>
                  </m:rPr>
                  <w:rPr>
                    <w:rFonts w:ascii="Times New Roman" w:hAnsi="Times New Roman" w:cs="Times New Roman"/>
                    <w:sz w:val="18"/>
                    <w:szCs w:val="18"/>
                  </w:rPr>
                  <m:t>2</m:t>
                </m:r>
              </m:sup>
            </m:sSubSup>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num>
          <m:den>
            <m:sSup>
              <m:sSupPr>
                <m:ctrlPr>
                  <w:rPr>
                    <w:rFonts w:ascii="Cambria Math" w:hAnsi="Cambria Math" w:cs="Times New Roman"/>
                    <w:sz w:val="18"/>
                    <w:szCs w:val="18"/>
                  </w:rPr>
                </m:ctrlPr>
              </m:sSupPr>
              <m:e>
                <m:d>
                  <m:dPr>
                    <m:begChr m:val="|"/>
                    <m:endChr m:val="|"/>
                    <m:ctrlPr>
                      <w:rPr>
                        <w:rFonts w:ascii="Cambria Math" w:hAnsi="Cambria Math" w:cs="Times New Roman"/>
                        <w:sz w:val="18"/>
                        <w:szCs w:val="18"/>
                      </w:rPr>
                    </m:ctrlPr>
                  </m:dPr>
                  <m:e>
                    <m:d>
                      <m:dPr>
                        <m:begChr m:val="⟨"/>
                        <m:endChr m:val="⟩"/>
                        <m:ctrlPr>
                          <w:rPr>
                            <w:rFonts w:ascii="Cambria Math" w:hAnsi="Cambria Math" w:cs="Times New Roman"/>
                            <w:i/>
                            <w:sz w:val="18"/>
                            <w:szCs w:val="18"/>
                          </w:rPr>
                        </m:ctrlPr>
                      </m:dPr>
                      <m:e>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e>
                    </m:d>
                  </m:e>
                </m:d>
              </m:e>
              <m:sup>
                <m:r>
                  <m:rPr>
                    <m:nor/>
                  </m:rPr>
                  <w:rPr>
                    <w:rFonts w:ascii="Times New Roman" w:hAnsi="Times New Roman" w:cs="Times New Roman"/>
                    <w:sz w:val="18"/>
                    <w:szCs w:val="18"/>
                  </w:rPr>
                  <m:t>2</m:t>
                </m:r>
              </m:sup>
            </m:sSup>
          </m:den>
        </m:f>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AA</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 1</m:t>
            </m:r>
          </m:e>
        </m:d>
      </m:oMath>
      <w:r w:rsidR="003E7E1B" w:rsidRPr="002C1A46">
        <w:rPr>
          <w:rFonts w:ascii="Times New Roman" w:hAnsi="Times New Roman" w:cs="Times New Roman"/>
          <w:sz w:val="18"/>
          <w:szCs w:val="18"/>
        </w:rPr>
        <w:t xml:space="preserve"> </w:t>
      </w:r>
    </w:p>
    <w:p w14:paraId="557311A5" w14:textId="3DBE6BC3" w:rsidR="00DD36E6" w:rsidRPr="002C1A46" w:rsidRDefault="00DD36E6" w:rsidP="00616F26">
      <w:pPr>
        <w:spacing w:after="0"/>
        <w:ind w:left="284" w:firstLine="284"/>
        <w:jc w:val="both"/>
        <w:rPr>
          <w:rFonts w:ascii="Times New Roman" w:hAnsi="Times New Roman" w:cs="Times New Roman"/>
          <w:sz w:val="18"/>
          <w:szCs w:val="18"/>
        </w:rPr>
      </w:pPr>
      <m:oMath>
        <m:r>
          <m:rPr>
            <m:nor/>
          </m:rPr>
          <w:rPr>
            <w:rFonts w:ascii="Times New Roman" w:hAnsi="Times New Roman" w:cs="Times New Roman"/>
            <w:sz w:val="18"/>
            <w:szCs w:val="18"/>
          </w:rPr>
          <m:t>+</m:t>
        </m:r>
        <m:f>
          <m:fPr>
            <m:ctrlPr>
              <w:rPr>
                <w:rFonts w:ascii="Cambria Math" w:hAnsi="Cambria Math" w:cs="Times New Roman"/>
                <w:sz w:val="18"/>
                <w:szCs w:val="18"/>
              </w:rPr>
            </m:ctrlPr>
          </m:fPr>
          <m:num>
            <m:r>
              <m:rPr>
                <m:nor/>
              </m:rPr>
              <w:rPr>
                <w:rFonts w:ascii="Times New Roman" w:hAnsi="Times New Roman" w:cs="Times New Roman"/>
                <w:sz w:val="18"/>
                <w:szCs w:val="18"/>
              </w:rPr>
              <m:t>2</m:t>
            </m:r>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sSub>
              <m:sSubPr>
                <m:ctrlPr>
                  <w:rPr>
                    <w:rFonts w:ascii="Cambria Math" w:hAnsi="Cambria Math" w:cs="Times New Roman"/>
                    <w:sz w:val="18"/>
                    <w:szCs w:val="18"/>
                  </w:rPr>
                </m:ctrlPr>
              </m:sSubPr>
              <m:e>
                <m:r>
                  <m:rPr>
                    <m:nor/>
                  </m:rPr>
                  <w:rPr>
                    <w:rFonts w:ascii="Times New Roman" w:hAnsi="Times New Roman" w:cs="Times New Roman"/>
                    <w:i/>
                    <w:iCs/>
                    <w:sz w:val="18"/>
                    <w:szCs w:val="18"/>
                  </w:rPr>
                  <m:t>w</m:t>
                </m:r>
              </m:e>
              <m:sub>
                <m:r>
                  <m:rPr>
                    <m:nor/>
                  </m:rPr>
                  <w:rPr>
                    <w:rFonts w:ascii="Times New Roman" w:hAnsi="Times New Roman" w:cs="Times New Roman"/>
                    <w:sz w:val="18"/>
                    <w:szCs w:val="18"/>
                  </w:rPr>
                  <m:t>A</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sSub>
              <m:sSubPr>
                <m:ctrlPr>
                  <w:rPr>
                    <w:rFonts w:ascii="Cambria Math" w:hAnsi="Cambria Math" w:cs="Times New Roman"/>
                    <w:sz w:val="18"/>
                    <w:szCs w:val="18"/>
                  </w:rPr>
                </m:ctrlPr>
              </m:sSubPr>
              <m:e>
                <m:r>
                  <m:rPr>
                    <m:nor/>
                  </m:rPr>
                  <w:rPr>
                    <w:rFonts w:ascii="Times New Roman" w:hAnsi="Times New Roman" w:cs="Times New Roman"/>
                    <w:i/>
                    <w:iCs/>
                    <w:sz w:val="18"/>
                    <w:szCs w:val="18"/>
                  </w:rPr>
                  <m:t>w</m:t>
                </m:r>
              </m:e>
              <m:sub>
                <m:r>
                  <m:rPr>
                    <m:nor/>
                  </m:rPr>
                  <w:rPr>
                    <w:rFonts w:ascii="Times New Roman" w:hAnsi="Times New Roman" w:cs="Times New Roman"/>
                    <w:sz w:val="18"/>
                    <w:szCs w:val="18"/>
                  </w:rPr>
                  <m:t>X</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num>
          <m:den>
            <m:sSup>
              <m:sSupPr>
                <m:ctrlPr>
                  <w:rPr>
                    <w:rFonts w:ascii="Cambria Math" w:hAnsi="Cambria Math" w:cs="Times New Roman"/>
                    <w:sz w:val="18"/>
                    <w:szCs w:val="18"/>
                  </w:rPr>
                </m:ctrlPr>
              </m:sSupPr>
              <m:e>
                <m:d>
                  <m:dPr>
                    <m:begChr m:val="|"/>
                    <m:endChr m:val="|"/>
                    <m:ctrlPr>
                      <w:rPr>
                        <w:rFonts w:ascii="Cambria Math" w:hAnsi="Cambria Math" w:cs="Times New Roman"/>
                        <w:sz w:val="18"/>
                        <w:szCs w:val="18"/>
                      </w:rPr>
                    </m:ctrlPr>
                  </m:dPr>
                  <m:e>
                    <m:r>
                      <w:rPr>
                        <w:rFonts w:ascii="Cambria Math" w:hAnsi="Cambria Math" w:cs="Times New Roman"/>
                        <w:sz w:val="18"/>
                        <w:szCs w:val="18"/>
                      </w:rPr>
                      <m:t>〈</m:t>
                    </m:r>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r>
                      <w:rPr>
                        <w:rFonts w:ascii="Cambria Math" w:hAnsi="Cambria Math" w:cs="Times New Roman"/>
                        <w:sz w:val="18"/>
                        <w:szCs w:val="18"/>
                      </w:rPr>
                      <m:t>〉</m:t>
                    </m:r>
                  </m:e>
                </m:d>
              </m:e>
              <m:sup>
                <m:r>
                  <m:rPr>
                    <m:nor/>
                  </m:rPr>
                  <w:rPr>
                    <w:rFonts w:ascii="Times New Roman" w:hAnsi="Times New Roman" w:cs="Times New Roman"/>
                    <w:sz w:val="18"/>
                    <w:szCs w:val="18"/>
                  </w:rPr>
                  <m:t>2</m:t>
                </m:r>
              </m:sup>
            </m:sSup>
          </m:den>
        </m:f>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AX</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 1</m:t>
            </m:r>
          </m:e>
        </m:d>
        <m:r>
          <m:rPr>
            <m:nor/>
          </m:rPr>
          <w:rPr>
            <w:rFonts w:ascii="Times New Roman" w:hAnsi="Times New Roman" w:cs="Times New Roman"/>
            <w:sz w:val="18"/>
            <w:szCs w:val="18"/>
          </w:rPr>
          <m:t>+</m:t>
        </m:r>
        <m:f>
          <m:fPr>
            <m:ctrlPr>
              <w:rPr>
                <w:rFonts w:ascii="Cambria Math" w:hAnsi="Cambria Math" w:cs="Times New Roman"/>
                <w:sz w:val="18"/>
                <w:szCs w:val="18"/>
              </w:rPr>
            </m:ctrlPr>
          </m:fPr>
          <m:num>
            <m:sSubSup>
              <m:sSubSupPr>
                <m:ctrlPr>
                  <w:rPr>
                    <w:rFonts w:ascii="Cambria Math" w:hAnsi="Cambria Math" w:cs="Times New Roman"/>
                    <w:sz w:val="18"/>
                    <w:szCs w:val="18"/>
                  </w:rPr>
                </m:ctrlPr>
              </m:sSubSup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up>
                <m:r>
                  <m:rPr>
                    <m:nor/>
                  </m:rPr>
                  <w:rPr>
                    <w:rFonts w:ascii="Times New Roman" w:hAnsi="Times New Roman" w:cs="Times New Roman"/>
                    <w:sz w:val="18"/>
                    <w:szCs w:val="18"/>
                  </w:rPr>
                  <m:t>2</m:t>
                </m:r>
              </m:sup>
            </m:sSubSup>
            <m:sSubSup>
              <m:sSubSupPr>
                <m:ctrlPr>
                  <w:rPr>
                    <w:rFonts w:ascii="Cambria Math" w:hAnsi="Cambria Math" w:cs="Times New Roman"/>
                    <w:sz w:val="18"/>
                    <w:szCs w:val="18"/>
                  </w:rPr>
                </m:ctrlPr>
              </m:sSubSupPr>
              <m:e>
                <m:r>
                  <m:rPr>
                    <m:nor/>
                  </m:rPr>
                  <w:rPr>
                    <w:rFonts w:ascii="Times New Roman" w:hAnsi="Times New Roman" w:cs="Times New Roman"/>
                    <w:i/>
                    <w:iCs/>
                    <w:sz w:val="18"/>
                    <w:szCs w:val="18"/>
                  </w:rPr>
                  <m:t>w</m:t>
                </m:r>
              </m:e>
              <m:sub>
                <m:r>
                  <m:rPr>
                    <m:nor/>
                  </m:rPr>
                  <w:rPr>
                    <w:rFonts w:ascii="Times New Roman" w:hAnsi="Times New Roman" w:cs="Times New Roman"/>
                    <w:sz w:val="18"/>
                    <w:szCs w:val="18"/>
                  </w:rPr>
                  <m:t>X</m:t>
                </m:r>
              </m:sub>
              <m:sup>
                <m:r>
                  <m:rPr>
                    <m:nor/>
                  </m:rPr>
                  <w:rPr>
                    <w:rFonts w:ascii="Times New Roman" w:hAnsi="Times New Roman" w:cs="Times New Roman"/>
                    <w:sz w:val="18"/>
                    <w:szCs w:val="18"/>
                  </w:rPr>
                  <m:t>2</m:t>
                </m:r>
              </m:sup>
            </m:sSubSup>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num>
          <m:den>
            <m:sSup>
              <m:sSupPr>
                <m:ctrlPr>
                  <w:rPr>
                    <w:rFonts w:ascii="Cambria Math" w:hAnsi="Cambria Math" w:cs="Times New Roman"/>
                    <w:sz w:val="18"/>
                    <w:szCs w:val="18"/>
                  </w:rPr>
                </m:ctrlPr>
              </m:sSupPr>
              <m:e>
                <m:d>
                  <m:dPr>
                    <m:begChr m:val="|"/>
                    <m:endChr m:val="|"/>
                    <m:ctrlPr>
                      <w:rPr>
                        <w:rFonts w:ascii="Cambria Math" w:hAnsi="Cambria Math" w:cs="Times New Roman"/>
                        <w:sz w:val="18"/>
                        <w:szCs w:val="18"/>
                      </w:rPr>
                    </m:ctrlPr>
                  </m:dPr>
                  <m:e>
                    <m:r>
                      <w:rPr>
                        <w:rFonts w:ascii="Cambria Math" w:hAnsi="Cambria Math" w:cs="Times New Roman"/>
                        <w:sz w:val="18"/>
                        <w:szCs w:val="18"/>
                      </w:rPr>
                      <m:t>〈</m:t>
                    </m:r>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r>
                      <w:rPr>
                        <w:rFonts w:ascii="Cambria Math" w:hAnsi="Cambria Math" w:cs="Times New Roman"/>
                        <w:sz w:val="18"/>
                        <w:szCs w:val="18"/>
                      </w:rPr>
                      <m:t>〉</m:t>
                    </m:r>
                  </m:e>
                </m:d>
              </m:e>
              <m:sup>
                <m:r>
                  <m:rPr>
                    <m:nor/>
                  </m:rPr>
                  <w:rPr>
                    <w:rFonts w:ascii="Times New Roman" w:hAnsi="Times New Roman" w:cs="Times New Roman"/>
                    <w:sz w:val="18"/>
                    <w:szCs w:val="18"/>
                  </w:rPr>
                  <m:t>2</m:t>
                </m:r>
              </m:sup>
            </m:sSup>
          </m:den>
        </m:f>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XX</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 1</m:t>
            </m:r>
          </m:e>
        </m:d>
      </m:oMath>
      <w:r w:rsidR="002348F0" w:rsidRPr="002C1A46">
        <w:rPr>
          <w:rFonts w:ascii="Times New Roman" w:hAnsi="Times New Roman" w:cs="Times New Roman"/>
          <w:sz w:val="18"/>
          <w:szCs w:val="18"/>
        </w:rPr>
        <w:t>,</w:t>
      </w:r>
      <w:r w:rsidR="00616F26" w:rsidRPr="002C1A46">
        <w:rPr>
          <w:rFonts w:ascii="Times New Roman" w:hAnsi="Times New Roman" w:cs="Times New Roman"/>
          <w:sz w:val="18"/>
          <w:szCs w:val="18"/>
        </w:rPr>
        <w:tab/>
      </w:r>
      <w:r w:rsidR="00B07066" w:rsidRPr="002C1A46">
        <w:rPr>
          <w:rFonts w:ascii="Times New Roman" w:hAnsi="Times New Roman" w:cs="Times New Roman"/>
          <w:sz w:val="18"/>
          <w:szCs w:val="18"/>
        </w:rPr>
        <w:t>(1)</w:t>
      </w:r>
    </w:p>
    <w:p w14:paraId="3896A012" w14:textId="77777777" w:rsidR="00B07066" w:rsidRPr="002C1A46" w:rsidRDefault="00B07066" w:rsidP="008B7D27">
      <w:pPr>
        <w:spacing w:after="0"/>
        <w:jc w:val="both"/>
        <w:rPr>
          <w:rFonts w:ascii="Times New Roman" w:hAnsi="Times New Roman" w:cs="Times New Roman"/>
          <w:sz w:val="18"/>
          <w:szCs w:val="18"/>
        </w:rPr>
      </w:pPr>
    </w:p>
    <w:p w14:paraId="5F542CF3" w14:textId="34F9B763" w:rsidR="00DD36E6" w:rsidRPr="002C1A46" w:rsidRDefault="00DD36E6" w:rsidP="008B7D27">
      <w:pPr>
        <w:spacing w:after="0"/>
        <w:jc w:val="both"/>
        <w:rPr>
          <w:rFonts w:ascii="Times New Roman" w:hAnsi="Times New Roman" w:cs="Times New Roman"/>
          <w:sz w:val="18"/>
          <w:szCs w:val="18"/>
        </w:rPr>
      </w:pPr>
      <w:r w:rsidRPr="002C1A46">
        <w:rPr>
          <w:rFonts w:ascii="Times New Roman" w:hAnsi="Times New Roman" w:cs="Times New Roman"/>
          <w:sz w:val="18"/>
          <w:szCs w:val="18"/>
        </w:rPr>
        <w:t xml:space="preserve">where </w:t>
      </w:r>
      <w:r w:rsidRPr="002C1A46">
        <w:rPr>
          <w:rFonts w:ascii="Times New Roman" w:hAnsi="Times New Roman" w:cs="Times New Roman"/>
          <w:i/>
          <w:iCs/>
          <w:sz w:val="18"/>
          <w:szCs w:val="18"/>
        </w:rPr>
        <w:t>c</w:t>
      </w:r>
      <w:r w:rsidRPr="002C1A46">
        <w:rPr>
          <w:rFonts w:ascii="Times New Roman" w:hAnsi="Times New Roman" w:cs="Times New Roman"/>
          <w:i/>
          <w:iCs/>
          <w:sz w:val="18"/>
          <w:szCs w:val="18"/>
          <w:vertAlign w:val="subscript"/>
        </w:rPr>
        <w:t>α</w:t>
      </w:r>
      <w:r w:rsidRPr="002C1A46">
        <w:rPr>
          <w:rFonts w:ascii="Times New Roman" w:hAnsi="Times New Roman" w:cs="Times New Roman"/>
          <w:sz w:val="18"/>
          <w:szCs w:val="18"/>
        </w:rPr>
        <w:t xml:space="preserve"> is the atomic fraction of chemical species </w:t>
      </w:r>
      <w:r w:rsidRPr="002C1A46">
        <w:rPr>
          <w:rFonts w:ascii="Times New Roman" w:hAnsi="Times New Roman" w:cs="Times New Roman"/>
          <w:i/>
          <w:iCs/>
          <w:sz w:val="18"/>
          <w:szCs w:val="18"/>
        </w:rPr>
        <w:t>α</w:t>
      </w:r>
      <w:r w:rsidRPr="002C1A46">
        <w:rPr>
          <w:rFonts w:ascii="Times New Roman" w:hAnsi="Times New Roman" w:cs="Times New Roman"/>
          <w:sz w:val="18"/>
          <w:szCs w:val="18"/>
        </w:rPr>
        <w:t xml:space="preserve">; </w:t>
      </w:r>
      <w:r w:rsidRPr="002C1A46">
        <w:rPr>
          <w:rFonts w:ascii="Times New Roman" w:hAnsi="Times New Roman" w:cs="Times New Roman"/>
          <w:i/>
          <w:iCs/>
          <w:sz w:val="18"/>
          <w:szCs w:val="18"/>
        </w:rPr>
        <w:t>w</w:t>
      </w:r>
      <w:r w:rsidRPr="002C1A46">
        <w:rPr>
          <w:rFonts w:ascii="Times New Roman" w:hAnsi="Times New Roman" w:cs="Times New Roman"/>
          <w:i/>
          <w:iCs/>
          <w:sz w:val="18"/>
          <w:szCs w:val="18"/>
          <w:vertAlign w:val="subscript"/>
        </w:rPr>
        <w:t>α</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is either a </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-independent coherent scattering length in ND or a </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-dependent </w:t>
      </w:r>
      <w:r w:rsidRPr="002C1A46">
        <w:rPr>
          <w:rFonts w:ascii="Times New Roman" w:hAnsi="Times New Roman" w:cs="Times New Roman"/>
          <w:sz w:val="18"/>
          <w:szCs w:val="18"/>
        </w:rPr>
        <w:t xml:space="preserve">atomic form factor with dispersion terms in XRD and is generally a complex number; </w:t>
      </w:r>
      <w:r w:rsidRPr="002C1A46">
        <w:rPr>
          <w:rFonts w:ascii="Times New Roman" w:hAnsi="Times New Roman" w:cs="Times New Roman"/>
          <w:i/>
          <w:iCs/>
          <w:sz w:val="18"/>
          <w:szCs w:val="18"/>
        </w:rPr>
        <w:t>S</w:t>
      </w:r>
      <w:r w:rsidRPr="002C1A46">
        <w:rPr>
          <w:rFonts w:ascii="Times New Roman" w:hAnsi="Times New Roman" w:cs="Times New Roman"/>
          <w:i/>
          <w:iCs/>
          <w:sz w:val="18"/>
          <w:szCs w:val="18"/>
          <w:vertAlign w:val="subscript"/>
        </w:rPr>
        <w:t>αβ</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is a Faber–Ziman (FZ)</w:t>
      </w:r>
      <w:r w:rsidR="00893702" w:rsidRPr="002C1A46">
        <w:rPr>
          <w:rFonts w:ascii="Times New Roman" w:hAnsi="Times New Roman" w:cs="Times New Roman"/>
          <w:sz w:val="18"/>
          <w:szCs w:val="18"/>
          <w:vertAlign w:val="superscript"/>
        </w:rPr>
        <w:t>28</w:t>
      </w:r>
      <w:r w:rsidRPr="002C1A46">
        <w:rPr>
          <w:rFonts w:ascii="Times New Roman" w:hAnsi="Times New Roman" w:cs="Times New Roman"/>
          <w:sz w:val="18"/>
          <w:szCs w:val="18"/>
        </w:rPr>
        <w:t xml:space="preserve"> partial structure factor; and </w:t>
      </w:r>
      <m:oMath>
        <m:sSup>
          <m:sSupPr>
            <m:ctrlPr>
              <w:rPr>
                <w:rFonts w:ascii="Cambria Math" w:hAnsi="Cambria Math" w:cs="Times New Roman"/>
                <w:i/>
                <w:sz w:val="18"/>
                <w:szCs w:val="18"/>
              </w:rPr>
            </m:ctrlPr>
          </m:sSupPr>
          <m:e>
            <m:d>
              <m:dPr>
                <m:begChr m:val="|"/>
                <m:endChr m:val="|"/>
                <m:ctrlPr>
                  <w:rPr>
                    <w:rFonts w:ascii="Cambria Math" w:hAnsi="Cambria Math" w:cs="Times New Roman"/>
                    <w:i/>
                    <w:sz w:val="18"/>
                    <w:szCs w:val="18"/>
                  </w:rPr>
                </m:ctrlPr>
              </m:dPr>
              <m:e>
                <m:d>
                  <m:dPr>
                    <m:begChr m:val="〈"/>
                    <m:endChr m:val="〉"/>
                    <m:ctrlPr>
                      <w:rPr>
                        <w:rFonts w:ascii="Cambria Math" w:hAnsi="Cambria Math" w:cs="Times New Roman"/>
                        <w:i/>
                        <w:sz w:val="18"/>
                        <w:szCs w:val="18"/>
                      </w:rPr>
                    </m:ctrlPr>
                  </m:dPr>
                  <m:e>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e>
                </m:d>
              </m:e>
            </m:d>
          </m:e>
          <m:sup>
            <m:r>
              <m:rPr>
                <m:nor/>
              </m:rPr>
              <w:rPr>
                <w:rFonts w:ascii="Times New Roman" w:hAnsi="Times New Roman" w:cs="Times New Roman"/>
                <w:sz w:val="18"/>
                <w:szCs w:val="18"/>
              </w:rPr>
              <m:t>2</m:t>
            </m:r>
          </m:sup>
        </m:sSup>
        <m:r>
          <m:rPr>
            <m:nor/>
          </m:rPr>
          <w:rPr>
            <w:rFonts w:ascii="Times New Roman" w:hAnsi="Times New Roman" w:cs="Times New Roman"/>
            <w:sz w:val="18"/>
            <w:szCs w:val="18"/>
          </w:rPr>
          <m:t xml:space="preserve">= </m:t>
        </m:r>
        <m:nary>
          <m:naryPr>
            <m:chr m:val="∑"/>
            <m:limLoc m:val="undOvr"/>
            <m:ctrlPr>
              <w:rPr>
                <w:rFonts w:ascii="Cambria Math" w:hAnsi="Cambria Math" w:cs="Times New Roman"/>
                <w:i/>
                <w:sz w:val="18"/>
                <w:szCs w:val="18"/>
              </w:rPr>
            </m:ctrlPr>
          </m:naryPr>
          <m:sub>
            <m:r>
              <m:rPr>
                <m:nor/>
              </m:rPr>
              <w:rPr>
                <w:rFonts w:ascii="Times New Roman" w:hAnsi="Times New Roman" w:cs="Times New Roman"/>
                <w:i/>
                <w:iCs/>
                <w:sz w:val="18"/>
                <w:szCs w:val="18"/>
              </w:rPr>
              <m:t>α</m:t>
            </m:r>
            <m:r>
              <m:rPr>
                <m:nor/>
              </m:rPr>
              <w:rPr>
                <w:rFonts w:ascii="Times New Roman" w:hAnsi="Times New Roman" w:cs="Times New Roman"/>
                <w:sz w:val="18"/>
                <w:szCs w:val="18"/>
              </w:rPr>
              <m:t>=1</m:t>
            </m:r>
          </m:sub>
          <m:sup>
            <m:r>
              <m:rPr>
                <m:nor/>
              </m:rPr>
              <w:rPr>
                <w:rFonts w:ascii="Times New Roman" w:hAnsi="Times New Roman" w:cs="Times New Roman"/>
                <w:i/>
                <w:iCs/>
                <w:sz w:val="18"/>
                <w:szCs w:val="18"/>
              </w:rPr>
              <m:t>n</m:t>
            </m:r>
          </m:sup>
          <m:e>
            <m:nary>
              <m:naryPr>
                <m:chr m:val="∑"/>
                <m:limLoc m:val="undOvr"/>
                <m:ctrlPr>
                  <w:rPr>
                    <w:rFonts w:ascii="Cambria Math" w:hAnsi="Cambria Math" w:cs="Times New Roman"/>
                    <w:i/>
                    <w:sz w:val="18"/>
                    <w:szCs w:val="18"/>
                  </w:rPr>
                </m:ctrlPr>
              </m:naryPr>
              <m:sub>
                <m:r>
                  <m:rPr>
                    <m:nor/>
                  </m:rPr>
                  <w:rPr>
                    <w:rFonts w:ascii="Times New Roman" w:hAnsi="Times New Roman" w:cs="Times New Roman"/>
                    <w:i/>
                    <w:iCs/>
                    <w:sz w:val="18"/>
                    <w:szCs w:val="18"/>
                  </w:rPr>
                  <m:t>β</m:t>
                </m:r>
                <m:r>
                  <m:rPr>
                    <m:nor/>
                  </m:rPr>
                  <w:rPr>
                    <w:rFonts w:ascii="Times New Roman" w:hAnsi="Times New Roman" w:cs="Times New Roman"/>
                    <w:sz w:val="18"/>
                    <w:szCs w:val="18"/>
                  </w:rPr>
                  <m:t>=1</m:t>
                </m:r>
              </m:sub>
              <m:sup>
                <m:r>
                  <m:rPr>
                    <m:nor/>
                  </m:rPr>
                  <w:rPr>
                    <w:rFonts w:ascii="Times New Roman" w:hAnsi="Times New Roman" w:cs="Times New Roman"/>
                    <w:i/>
                    <w:iCs/>
                    <w:sz w:val="18"/>
                    <w:szCs w:val="18"/>
                  </w:rPr>
                  <m:t>n</m:t>
                </m:r>
              </m:sup>
              <m:e>
                <m:sSub>
                  <m:sSubPr>
                    <m:ctrlPr>
                      <w:rPr>
                        <w:rFonts w:ascii="Cambria Math" w:hAnsi="Cambria Math" w:cs="Times New Roman"/>
                        <w:i/>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i/>
                        <w:sz w:val="18"/>
                        <w:szCs w:val="18"/>
                      </w:rPr>
                      <m:t>α</m:t>
                    </m:r>
                  </m:sub>
                </m:sSub>
                <m:sSub>
                  <m:sSubPr>
                    <m:ctrlPr>
                      <w:rPr>
                        <w:rFonts w:ascii="Cambria Math" w:hAnsi="Cambria Math" w:cs="Times New Roman"/>
                        <w:i/>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i/>
                        <w:sz w:val="18"/>
                        <w:szCs w:val="18"/>
                      </w:rPr>
                      <m:t>β</m:t>
                    </m:r>
                  </m:sub>
                </m:sSub>
                <m:sSubSup>
                  <m:sSubSupPr>
                    <m:ctrlPr>
                      <w:rPr>
                        <w:rFonts w:ascii="Cambria Math" w:hAnsi="Cambria Math" w:cs="Times New Roman"/>
                        <w:i/>
                        <w:sz w:val="18"/>
                        <w:szCs w:val="18"/>
                      </w:rPr>
                    </m:ctrlPr>
                  </m:sSubSupPr>
                  <m:e>
                    <m:r>
                      <m:rPr>
                        <m:nor/>
                      </m:rPr>
                      <w:rPr>
                        <w:rFonts w:ascii="Times New Roman" w:hAnsi="Times New Roman" w:cs="Times New Roman"/>
                        <w:i/>
                        <w:sz w:val="18"/>
                        <w:szCs w:val="18"/>
                      </w:rPr>
                      <m:t>w</m:t>
                    </m:r>
                  </m:e>
                  <m:sub>
                    <m:r>
                      <m:rPr>
                        <m:nor/>
                      </m:rPr>
                      <w:rPr>
                        <w:rFonts w:ascii="Times New Roman" w:hAnsi="Times New Roman" w:cs="Times New Roman"/>
                        <w:i/>
                        <w:sz w:val="18"/>
                        <w:szCs w:val="18"/>
                      </w:rPr>
                      <m:t>α</m:t>
                    </m:r>
                  </m:sub>
                  <m:sup>
                    <m:r>
                      <m:rPr>
                        <m:nor/>
                      </m:rPr>
                      <w:rPr>
                        <w:rFonts w:ascii="Times New Roman" w:hAnsi="Times New Roman" w:cs="Times New Roman"/>
                        <w:i/>
                        <w:sz w:val="18"/>
                        <w:szCs w:val="18"/>
                      </w:rPr>
                      <m:t>*</m:t>
                    </m:r>
                  </m:sup>
                </m:sSubSup>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sSub>
                  <m:sSubPr>
                    <m:ctrlPr>
                      <w:rPr>
                        <w:rFonts w:ascii="Cambria Math" w:hAnsi="Cambria Math" w:cs="Times New Roman"/>
                        <w:i/>
                        <w:sz w:val="18"/>
                        <w:szCs w:val="18"/>
                      </w:rPr>
                    </m:ctrlPr>
                  </m:sSubPr>
                  <m:e>
                    <m:r>
                      <m:rPr>
                        <m:nor/>
                      </m:rPr>
                      <w:rPr>
                        <w:rFonts w:ascii="Times New Roman" w:hAnsi="Times New Roman" w:cs="Times New Roman"/>
                        <w:i/>
                        <w:sz w:val="18"/>
                        <w:szCs w:val="18"/>
                      </w:rPr>
                      <m:t>w</m:t>
                    </m:r>
                  </m:e>
                  <m:sub>
                    <m:r>
                      <m:rPr>
                        <m:nor/>
                      </m:rPr>
                      <w:rPr>
                        <w:rFonts w:ascii="Times New Roman" w:hAnsi="Times New Roman" w:cs="Times New Roman"/>
                        <w:i/>
                        <w:sz w:val="18"/>
                        <w:szCs w:val="18"/>
                      </w:rPr>
                      <m:t>β</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e>
            </m:nary>
          </m:e>
        </m:nary>
      </m:oMath>
      <w:r w:rsidRPr="002C1A46">
        <w:rPr>
          <w:rFonts w:ascii="Times New Roman" w:hAnsi="Times New Roman" w:cs="Times New Roman"/>
          <w:sz w:val="18"/>
          <w:szCs w:val="18"/>
        </w:rPr>
        <w:t xml:space="preserve">. These partial structure factors are related to the partial pair-distribution functions, </w:t>
      </w:r>
      <w:r w:rsidRPr="002C1A46">
        <w:rPr>
          <w:rFonts w:ascii="Times New Roman" w:hAnsi="Times New Roman" w:cs="Times New Roman"/>
          <w:i/>
          <w:iCs/>
          <w:sz w:val="18"/>
          <w:szCs w:val="18"/>
        </w:rPr>
        <w:t>g</w:t>
      </w:r>
      <w:r w:rsidRPr="002C1A46">
        <w:rPr>
          <w:rFonts w:ascii="Times New Roman" w:hAnsi="Times New Roman" w:cs="Times New Roman"/>
          <w:i/>
          <w:iCs/>
          <w:sz w:val="18"/>
          <w:szCs w:val="18"/>
          <w:vertAlign w:val="subscript"/>
        </w:rPr>
        <w:t>αβ</w:t>
      </w:r>
      <w:r w:rsidRPr="002C1A46">
        <w:rPr>
          <w:rFonts w:ascii="Times New Roman" w:hAnsi="Times New Roman" w:cs="Times New Roman"/>
          <w:sz w:val="18"/>
          <w:szCs w:val="18"/>
        </w:rPr>
        <w:t>(</w:t>
      </w:r>
      <w:r w:rsidRPr="002C1A46">
        <w:rPr>
          <w:rFonts w:ascii="Times New Roman" w:hAnsi="Times New Roman" w:cs="Times New Roman"/>
          <w:i/>
          <w:iCs/>
          <w:sz w:val="18"/>
          <w:szCs w:val="18"/>
        </w:rPr>
        <w:t>r</w:t>
      </w:r>
      <w:r w:rsidRPr="002C1A46">
        <w:rPr>
          <w:rFonts w:ascii="Times New Roman" w:hAnsi="Times New Roman" w:cs="Times New Roman"/>
          <w:sz w:val="18"/>
          <w:szCs w:val="18"/>
        </w:rPr>
        <w:t>), through the Fourier transform relation:</w:t>
      </w:r>
    </w:p>
    <w:p w14:paraId="1EBE23C5" w14:textId="77777777" w:rsidR="00DD36E6" w:rsidRPr="002C1A46" w:rsidRDefault="00DD36E6" w:rsidP="008B7D27">
      <w:pPr>
        <w:spacing w:after="0"/>
        <w:jc w:val="both"/>
        <w:rPr>
          <w:rFonts w:ascii="Times New Roman" w:hAnsi="Times New Roman" w:cs="Times New Roman"/>
          <w:sz w:val="18"/>
          <w:szCs w:val="18"/>
        </w:rPr>
      </w:pPr>
    </w:p>
    <w:p w14:paraId="2C40D221" w14:textId="12C95B2B" w:rsidR="00B07066" w:rsidRPr="002C1A46" w:rsidRDefault="001250A9" w:rsidP="008B7D27">
      <w:pPr>
        <w:spacing w:after="0"/>
        <w:jc w:val="both"/>
        <w:rPr>
          <w:rFonts w:ascii="Times New Roman" w:hAnsi="Times New Roman" w:cs="Times New Roman"/>
          <w:sz w:val="18"/>
          <w:szCs w:val="18"/>
        </w:rPr>
      </w:pPr>
      <m:oMath>
        <m:r>
          <m:rPr>
            <m:nor/>
          </m:rPr>
          <w:rPr>
            <w:rFonts w:ascii="Times New Roman" w:hAnsi="Times New Roman" w:cs="Times New Roman"/>
            <w:sz w:val="18"/>
            <w:szCs w:val="18"/>
          </w:rPr>
          <m:t xml:space="preserve">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g</m:t>
            </m:r>
          </m:e>
          <m:sub>
            <m:r>
              <m:rPr>
                <m:nor/>
              </m:rPr>
              <w:rPr>
                <w:rFonts w:ascii="Times New Roman" w:hAnsi="Times New Roman" w:cs="Times New Roman"/>
                <w:i/>
                <w:iCs/>
                <w:sz w:val="18"/>
                <w:szCs w:val="18"/>
              </w:rPr>
              <m:t>αβ</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r</m:t>
        </m:r>
        <m:r>
          <m:rPr>
            <m:nor/>
          </m:rPr>
          <w:rPr>
            <w:rFonts w:ascii="Times New Roman" w:hAnsi="Times New Roman" w:cs="Times New Roman"/>
            <w:sz w:val="18"/>
            <w:szCs w:val="18"/>
          </w:rPr>
          <m:t xml:space="preserve">) = 1 + </m:t>
        </m:r>
        <m:f>
          <m:fPr>
            <m:ctrlPr>
              <w:rPr>
                <w:rFonts w:ascii="Cambria Math" w:hAnsi="Cambria Math" w:cs="Times New Roman"/>
                <w:sz w:val="18"/>
                <w:szCs w:val="18"/>
              </w:rPr>
            </m:ctrlPr>
          </m:fPr>
          <m:num>
            <m:r>
              <m:rPr>
                <m:nor/>
              </m:rPr>
              <w:rPr>
                <w:rFonts w:ascii="Times New Roman" w:hAnsi="Times New Roman" w:cs="Times New Roman"/>
                <w:sz w:val="18"/>
                <w:szCs w:val="18"/>
              </w:rPr>
              <m:t>1</m:t>
            </m:r>
          </m:num>
          <m:den>
            <m:r>
              <m:rPr>
                <m:nor/>
              </m:rPr>
              <w:rPr>
                <w:rFonts w:ascii="Times New Roman" w:hAnsi="Times New Roman" w:cs="Times New Roman"/>
                <w:sz w:val="18"/>
                <w:szCs w:val="18"/>
              </w:rPr>
              <m:t>2</m:t>
            </m:r>
            <m:sSup>
              <m:sSupPr>
                <m:ctrlPr>
                  <w:rPr>
                    <w:rFonts w:ascii="Cambria Math" w:hAnsi="Cambria Math" w:cs="Times New Roman"/>
                    <w:sz w:val="18"/>
                    <w:szCs w:val="18"/>
                  </w:rPr>
                </m:ctrlPr>
              </m:sSupPr>
              <m:e>
                <m:r>
                  <m:rPr>
                    <m:nor/>
                  </m:rPr>
                  <w:rPr>
                    <w:rFonts w:ascii="Times New Roman" w:hAnsi="Times New Roman" w:cs="Times New Roman"/>
                    <w:sz w:val="18"/>
                    <w:szCs w:val="18"/>
                  </w:rPr>
                  <m:t>π</m:t>
                </m:r>
              </m:e>
              <m:sup>
                <m:r>
                  <m:rPr>
                    <m:nor/>
                  </m:rPr>
                  <w:rPr>
                    <w:rFonts w:ascii="Times New Roman" w:hAnsi="Times New Roman" w:cs="Times New Roman"/>
                    <w:sz w:val="18"/>
                    <w:szCs w:val="18"/>
                  </w:rPr>
                  <m:t>2</m:t>
                </m:r>
              </m:sup>
            </m:sSup>
            <m:r>
              <m:rPr>
                <m:nor/>
              </m:rPr>
              <w:rPr>
                <w:rFonts w:ascii="Times New Roman" w:hAnsi="Times New Roman" w:cs="Times New Roman"/>
                <w:i/>
                <w:iCs/>
                <w:sz w:val="18"/>
                <w:szCs w:val="18"/>
              </w:rPr>
              <m:t>rρ</m:t>
            </m:r>
          </m:den>
        </m:f>
        <m:nary>
          <m:naryPr>
            <m:limLoc m:val="subSup"/>
            <m:ctrlPr>
              <w:rPr>
                <w:rFonts w:ascii="Cambria Math" w:hAnsi="Cambria Math" w:cs="Times New Roman"/>
                <w:sz w:val="18"/>
                <w:szCs w:val="18"/>
              </w:rPr>
            </m:ctrlPr>
          </m:naryPr>
          <m:sub>
            <m:sSub>
              <m:sSubPr>
                <m:ctrlPr>
                  <w:rPr>
                    <w:rFonts w:ascii="Cambria Math" w:hAnsi="Cambria Math" w:cs="Times New Roman"/>
                    <w:sz w:val="18"/>
                    <w:szCs w:val="18"/>
                  </w:rPr>
                </m:ctrlPr>
              </m:sSubPr>
              <m:e>
                <m:r>
                  <m:rPr>
                    <m:nor/>
                  </m:rPr>
                  <w:rPr>
                    <w:rFonts w:ascii="Times New Roman" w:hAnsi="Times New Roman" w:cs="Times New Roman"/>
                    <w:i/>
                    <w:iCs/>
                    <w:sz w:val="18"/>
                    <w:szCs w:val="18"/>
                  </w:rPr>
                  <m:t>Q</m:t>
                </m:r>
              </m:e>
              <m:sub>
                <m:r>
                  <m:rPr>
                    <m:nor/>
                  </m:rPr>
                  <w:rPr>
                    <w:rFonts w:ascii="Times New Roman" w:hAnsi="Times New Roman" w:cs="Times New Roman"/>
                    <w:sz w:val="18"/>
                    <w:szCs w:val="18"/>
                  </w:rPr>
                  <m:t>min</m:t>
                </m:r>
              </m:sub>
            </m:sSub>
          </m:sub>
          <m:sup>
            <m:sSub>
              <m:sSubPr>
                <m:ctrlPr>
                  <w:rPr>
                    <w:rFonts w:ascii="Cambria Math" w:hAnsi="Cambria Math" w:cs="Times New Roman"/>
                    <w:sz w:val="18"/>
                    <w:szCs w:val="18"/>
                  </w:rPr>
                </m:ctrlPr>
              </m:sSubPr>
              <m:e>
                <m:r>
                  <m:rPr>
                    <m:nor/>
                  </m:rPr>
                  <w:rPr>
                    <w:rFonts w:ascii="Times New Roman" w:hAnsi="Times New Roman" w:cs="Times New Roman"/>
                    <w:i/>
                    <w:iCs/>
                    <w:sz w:val="18"/>
                    <w:szCs w:val="18"/>
                  </w:rPr>
                  <m:t>Q</m:t>
                </m:r>
              </m:e>
              <m:sub>
                <m:r>
                  <m:rPr>
                    <m:nor/>
                  </m:rPr>
                  <w:rPr>
                    <w:rFonts w:ascii="Times New Roman" w:hAnsi="Times New Roman" w:cs="Times New Roman"/>
                    <w:sz w:val="18"/>
                    <w:szCs w:val="18"/>
                  </w:rPr>
                  <m:t>max</m:t>
                </m:r>
              </m:sub>
            </m:sSub>
          </m:sup>
          <m:e>
            <m:d>
              <m:dPr>
                <m:begChr m:val="["/>
                <m:endChr m:val="]"/>
                <m:ctrlPr>
                  <w:rPr>
                    <w:rFonts w:ascii="Cambria Math" w:hAnsi="Cambria Math" w:cs="Times New Roman"/>
                    <w:sz w:val="18"/>
                    <w:szCs w:val="18"/>
                  </w:rPr>
                </m:ctrlPr>
              </m:dPr>
              <m:e>
                <m:sSub>
                  <m:sSubPr>
                    <m:ctrlPr>
                      <w:rPr>
                        <w:rFonts w:ascii="Cambria Math" w:hAnsi="Cambria Math" w:cs="Times New Roman"/>
                        <w:i/>
                        <w:iCs/>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i/>
                        <w:iCs/>
                        <w:sz w:val="18"/>
                        <w:szCs w:val="18"/>
                      </w:rPr>
                      <m:t>αβ</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1</m:t>
                </m:r>
              </m:e>
            </m:d>
          </m:e>
        </m:nary>
        <m:func>
          <m:funcPr>
            <m:ctrlPr>
              <w:rPr>
                <w:rFonts w:ascii="Cambria Math" w:hAnsi="Cambria Math" w:cs="Times New Roman"/>
                <w:sz w:val="18"/>
                <w:szCs w:val="18"/>
              </w:rPr>
            </m:ctrlPr>
          </m:funcPr>
          <m:fName>
            <m:r>
              <m:rPr>
                <m:nor/>
              </m:rPr>
              <w:rPr>
                <w:rFonts w:ascii="Times New Roman" w:hAnsi="Times New Roman" w:cs="Times New Roman"/>
                <w:sz w:val="18"/>
                <w:szCs w:val="18"/>
              </w:rPr>
              <m:t>sin</m:t>
            </m:r>
          </m:fName>
          <m:e>
            <m:d>
              <m:dPr>
                <m:ctrlPr>
                  <w:rPr>
                    <w:rFonts w:ascii="Cambria Math" w:hAnsi="Cambria Math" w:cs="Times New Roman"/>
                    <w:sz w:val="18"/>
                    <w:szCs w:val="18"/>
                  </w:rPr>
                </m:ctrlPr>
              </m:dPr>
              <m:e>
                <m:r>
                  <m:rPr>
                    <m:nor/>
                  </m:rPr>
                  <w:rPr>
                    <w:rFonts w:ascii="Times New Roman" w:hAnsi="Times New Roman" w:cs="Times New Roman"/>
                    <w:i/>
                    <w:iCs/>
                    <w:sz w:val="18"/>
                    <w:szCs w:val="18"/>
                  </w:rPr>
                  <m:t>Qr</m:t>
                </m:r>
              </m:e>
            </m:d>
            <m:r>
              <m:rPr>
                <m:nor/>
              </m:rPr>
              <w:rPr>
                <w:rFonts w:ascii="Times New Roman" w:hAnsi="Times New Roman" w:cs="Times New Roman"/>
                <w:sz w:val="18"/>
                <w:szCs w:val="18"/>
              </w:rPr>
              <m:t>d</m:t>
            </m:r>
            <m:r>
              <m:rPr>
                <m:nor/>
              </m:rPr>
              <w:rPr>
                <w:rFonts w:ascii="Times New Roman" w:hAnsi="Times New Roman" w:cs="Times New Roman"/>
                <w:i/>
                <w:iCs/>
                <w:sz w:val="18"/>
                <w:szCs w:val="18"/>
              </w:rPr>
              <m:t>Q</m:t>
            </m:r>
          </m:e>
        </m:func>
      </m:oMath>
      <w:r w:rsidR="002348F0" w:rsidRPr="002C1A46">
        <w:rPr>
          <w:rFonts w:ascii="Times New Roman" w:hAnsi="Times New Roman" w:cs="Times New Roman"/>
          <w:sz w:val="18"/>
          <w:szCs w:val="18"/>
        </w:rPr>
        <w:t>,</w:t>
      </w:r>
      <w:r w:rsidR="00B07066" w:rsidRPr="002C1A46">
        <w:rPr>
          <w:rFonts w:ascii="Times New Roman" w:hAnsi="Times New Roman" w:cs="Times New Roman"/>
          <w:sz w:val="18"/>
          <w:szCs w:val="18"/>
        </w:rPr>
        <w:tab/>
      </w:r>
      <w:r w:rsidR="00B07066" w:rsidRPr="002C1A46">
        <w:rPr>
          <w:rFonts w:ascii="Times New Roman" w:hAnsi="Times New Roman" w:cs="Times New Roman"/>
          <w:sz w:val="18"/>
          <w:szCs w:val="18"/>
        </w:rPr>
        <w:tab/>
      </w:r>
      <w:r w:rsidR="00B07066" w:rsidRPr="002C1A46">
        <w:rPr>
          <w:rFonts w:ascii="Times New Roman" w:hAnsi="Times New Roman" w:cs="Times New Roman"/>
          <w:sz w:val="18"/>
          <w:szCs w:val="18"/>
        </w:rPr>
        <w:tab/>
      </w:r>
      <w:r w:rsidR="00B07066" w:rsidRPr="002C1A46">
        <w:rPr>
          <w:rFonts w:ascii="Times New Roman" w:hAnsi="Times New Roman" w:cs="Times New Roman"/>
          <w:sz w:val="18"/>
          <w:szCs w:val="18"/>
        </w:rPr>
        <w:tab/>
        <w:t>(2)</w:t>
      </w:r>
    </w:p>
    <w:p w14:paraId="1787DF82" w14:textId="77777777" w:rsidR="002348F0" w:rsidRPr="002C1A46" w:rsidRDefault="002348F0" w:rsidP="008B7D27">
      <w:pPr>
        <w:spacing w:after="0"/>
        <w:jc w:val="both"/>
        <w:rPr>
          <w:rFonts w:ascii="Times New Roman" w:hAnsi="Times New Roman" w:cs="Times New Roman"/>
          <w:sz w:val="18"/>
          <w:szCs w:val="18"/>
        </w:rPr>
      </w:pPr>
    </w:p>
    <w:p w14:paraId="1C02BC2F" w14:textId="59E75B25" w:rsidR="008B7D27" w:rsidRPr="002C1A46" w:rsidRDefault="002348F0" w:rsidP="008B7D27">
      <w:pPr>
        <w:spacing w:after="0"/>
        <w:jc w:val="both"/>
        <w:rPr>
          <w:rFonts w:ascii="Times New Roman" w:hAnsi="Times New Roman" w:cs="Times New Roman"/>
          <w:sz w:val="18"/>
          <w:szCs w:val="18"/>
        </w:rPr>
      </w:pPr>
      <w:r w:rsidRPr="002C1A46">
        <w:rPr>
          <w:rFonts w:ascii="Times New Roman" w:hAnsi="Times New Roman" w:cs="Times New Roman"/>
          <w:sz w:val="18"/>
          <w:szCs w:val="18"/>
        </w:rPr>
        <w:t xml:space="preserve">where </w:t>
      </w:r>
      <w:r w:rsidRPr="002C1A46">
        <w:rPr>
          <w:rFonts w:ascii="Times New Roman" w:hAnsi="Times New Roman" w:cs="Times New Roman"/>
          <w:i/>
          <w:iCs/>
          <w:sz w:val="18"/>
          <w:szCs w:val="18"/>
        </w:rPr>
        <w:t>ρ</w:t>
      </w:r>
      <w:r w:rsidRPr="002C1A46">
        <w:rPr>
          <w:rFonts w:ascii="Times New Roman" w:hAnsi="Times New Roman" w:cs="Times New Roman"/>
          <w:sz w:val="18"/>
          <w:szCs w:val="18"/>
        </w:rPr>
        <w:t xml:space="preserve"> is the atomic number density of the glass. The full set of </w:t>
      </w:r>
      <w:r w:rsidRPr="002C1A46">
        <w:rPr>
          <w:rFonts w:ascii="Times New Roman" w:hAnsi="Times New Roman" w:cs="Times New Roman"/>
          <w:i/>
          <w:iCs/>
          <w:sz w:val="18"/>
          <w:szCs w:val="18"/>
        </w:rPr>
        <w:t>S</w:t>
      </w:r>
      <w:r w:rsidRPr="002C1A46">
        <w:rPr>
          <w:rFonts w:ascii="Times New Roman" w:hAnsi="Times New Roman" w:cs="Times New Roman"/>
          <w:i/>
          <w:iCs/>
          <w:sz w:val="18"/>
          <w:szCs w:val="18"/>
          <w:vertAlign w:val="subscript"/>
        </w:rPr>
        <w:t>αβ</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for P</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O</w:t>
      </w:r>
      <w:r w:rsidRPr="002C1A46">
        <w:rPr>
          <w:rFonts w:ascii="Times New Roman" w:hAnsi="Times New Roman" w:cs="Times New Roman"/>
          <w:sz w:val="18"/>
          <w:szCs w:val="18"/>
          <w:vertAlign w:val="subscript"/>
        </w:rPr>
        <w:t>5</w:t>
      </w:r>
      <w:r w:rsidRPr="002C1A46">
        <w:rPr>
          <w:rFonts w:ascii="Times New Roman" w:hAnsi="Times New Roman" w:cs="Times New Roman"/>
          <w:sz w:val="18"/>
          <w:szCs w:val="18"/>
        </w:rPr>
        <w:t xml:space="preserve"> and SiO</w:t>
      </w:r>
      <w:r w:rsidRPr="002C1A46">
        <w:rPr>
          <w:rFonts w:ascii="Times New Roman" w:hAnsi="Times New Roman" w:cs="Times New Roman"/>
          <w:sz w:val="18"/>
          <w:szCs w:val="18"/>
          <w:vertAlign w:val="subscript"/>
        </w:rPr>
        <w:t>2</w:t>
      </w:r>
      <w:r w:rsidRPr="002C1A46">
        <w:rPr>
          <w:rFonts w:ascii="Times New Roman" w:hAnsi="Times New Roman" w:cs="Times New Roman"/>
          <w:sz w:val="18"/>
          <w:szCs w:val="18"/>
        </w:rPr>
        <w:t xml:space="preserve"> glasses can be obtained from the Fourier transform of the </w:t>
      </w:r>
      <w:r w:rsidRPr="002C1A46">
        <w:rPr>
          <w:rFonts w:ascii="Times New Roman" w:hAnsi="Times New Roman" w:cs="Times New Roman"/>
          <w:i/>
          <w:iCs/>
          <w:sz w:val="18"/>
          <w:szCs w:val="18"/>
        </w:rPr>
        <w:t>g</w:t>
      </w:r>
      <w:r w:rsidRPr="002C1A46">
        <w:rPr>
          <w:rFonts w:ascii="Times New Roman" w:hAnsi="Times New Roman" w:cs="Times New Roman"/>
          <w:i/>
          <w:iCs/>
          <w:sz w:val="18"/>
          <w:szCs w:val="18"/>
          <w:vertAlign w:val="subscript"/>
        </w:rPr>
        <w:t>αβ</w:t>
      </w:r>
      <w:r w:rsidRPr="002C1A46">
        <w:rPr>
          <w:rFonts w:ascii="Times New Roman" w:hAnsi="Times New Roman" w:cs="Times New Roman"/>
          <w:sz w:val="18"/>
          <w:szCs w:val="18"/>
        </w:rPr>
        <w:t>(</w:t>
      </w:r>
      <w:r w:rsidRPr="002C1A46">
        <w:rPr>
          <w:rFonts w:ascii="Times New Roman" w:hAnsi="Times New Roman" w:cs="Times New Roman"/>
          <w:i/>
          <w:iCs/>
          <w:sz w:val="18"/>
          <w:szCs w:val="18"/>
        </w:rPr>
        <w:t>r</w:t>
      </w:r>
      <w:r w:rsidRPr="002C1A46">
        <w:rPr>
          <w:rFonts w:ascii="Times New Roman" w:hAnsi="Times New Roman" w:cs="Times New Roman"/>
          <w:sz w:val="18"/>
          <w:szCs w:val="18"/>
        </w:rPr>
        <w:t>) extracted from the three-dimensional atomic configurations generated by our structure-modelling procedure:</w:t>
      </w:r>
    </w:p>
    <w:p w14:paraId="082F5DF0" w14:textId="77777777" w:rsidR="002348F0" w:rsidRPr="002C1A46" w:rsidRDefault="002348F0" w:rsidP="008B7D27">
      <w:pPr>
        <w:spacing w:after="0"/>
        <w:jc w:val="both"/>
        <w:rPr>
          <w:rFonts w:ascii="Times New Roman" w:hAnsi="Times New Roman" w:cs="Times New Roman"/>
          <w:sz w:val="18"/>
          <w:szCs w:val="18"/>
        </w:rPr>
      </w:pPr>
    </w:p>
    <w:p w14:paraId="3F257FBF" w14:textId="052934E7" w:rsidR="002348F0" w:rsidRPr="002C1A46" w:rsidRDefault="00000000" w:rsidP="008B7D27">
      <w:pPr>
        <w:spacing w:after="0"/>
        <w:jc w:val="both"/>
        <w:rPr>
          <w:rFonts w:ascii="Times New Roman" w:hAnsi="Times New Roman" w:cs="Times New Roman"/>
          <w:sz w:val="18"/>
          <w:szCs w:val="18"/>
        </w:rPr>
      </w:pPr>
      <m:oMath>
        <m:sSub>
          <m:sSubPr>
            <m:ctrlPr>
              <w:rPr>
                <w:rFonts w:ascii="Cambria Math" w:hAnsi="Cambria Math" w:cs="Times New Roman"/>
                <w:i/>
                <w:iCs/>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i/>
                <w:iCs/>
                <w:sz w:val="18"/>
                <w:szCs w:val="18"/>
              </w:rPr>
              <m:t>αβ</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1 + </m:t>
        </m:r>
        <m:nary>
          <m:naryPr>
            <m:limLoc m:val="subSup"/>
            <m:ctrlPr>
              <w:rPr>
                <w:rFonts w:ascii="Cambria Math" w:hAnsi="Cambria Math" w:cs="Times New Roman"/>
                <w:sz w:val="18"/>
                <w:szCs w:val="18"/>
              </w:rPr>
            </m:ctrlPr>
          </m:naryPr>
          <m:sub>
            <m:sSub>
              <m:sSubPr>
                <m:ctrlPr>
                  <w:rPr>
                    <w:rFonts w:ascii="Cambria Math" w:hAnsi="Cambria Math" w:cs="Times New Roman"/>
                    <w:sz w:val="18"/>
                    <w:szCs w:val="18"/>
                  </w:rPr>
                </m:ctrlPr>
              </m:sSubPr>
              <m:e>
                <m:r>
                  <m:rPr>
                    <m:nor/>
                  </m:rPr>
                  <w:rPr>
                    <w:rFonts w:ascii="Times New Roman" w:hAnsi="Times New Roman" w:cs="Times New Roman"/>
                    <w:i/>
                    <w:iCs/>
                    <w:sz w:val="18"/>
                    <w:szCs w:val="18"/>
                  </w:rPr>
                  <m:t>r</m:t>
                </m:r>
              </m:e>
              <m:sub>
                <m:r>
                  <m:rPr>
                    <m:nor/>
                  </m:rPr>
                  <w:rPr>
                    <w:rFonts w:ascii="Times New Roman" w:hAnsi="Times New Roman" w:cs="Times New Roman"/>
                    <w:sz w:val="18"/>
                    <w:szCs w:val="18"/>
                  </w:rPr>
                  <m:t>min</m:t>
                </m:r>
              </m:sub>
            </m:sSub>
          </m:sub>
          <m:sup>
            <m:sSub>
              <m:sSubPr>
                <m:ctrlPr>
                  <w:rPr>
                    <w:rFonts w:ascii="Cambria Math" w:hAnsi="Cambria Math" w:cs="Times New Roman"/>
                    <w:sz w:val="18"/>
                    <w:szCs w:val="18"/>
                  </w:rPr>
                </m:ctrlPr>
              </m:sSubPr>
              <m:e>
                <m:r>
                  <m:rPr>
                    <m:nor/>
                  </m:rPr>
                  <w:rPr>
                    <w:rFonts w:ascii="Times New Roman" w:hAnsi="Times New Roman" w:cs="Times New Roman"/>
                    <w:i/>
                    <w:iCs/>
                    <w:sz w:val="18"/>
                    <w:szCs w:val="18"/>
                  </w:rPr>
                  <m:t>r</m:t>
                </m:r>
              </m:e>
              <m:sub>
                <m:r>
                  <m:rPr>
                    <m:nor/>
                  </m:rPr>
                  <w:rPr>
                    <w:rFonts w:ascii="Times New Roman" w:hAnsi="Times New Roman" w:cs="Times New Roman"/>
                    <w:sz w:val="18"/>
                    <w:szCs w:val="18"/>
                  </w:rPr>
                  <m:t>max</m:t>
                </m:r>
              </m:sub>
            </m:sSub>
          </m:sup>
          <m:e>
            <m:r>
              <m:rPr>
                <m:nor/>
              </m:rPr>
              <w:rPr>
                <w:rFonts w:ascii="Times New Roman" w:hAnsi="Times New Roman" w:cs="Times New Roman"/>
                <w:sz w:val="18"/>
                <w:szCs w:val="18"/>
              </w:rPr>
              <m:t>4π</m:t>
            </m:r>
            <m:sSup>
              <m:sSupPr>
                <m:ctrlPr>
                  <w:rPr>
                    <w:rFonts w:ascii="Cambria Math" w:hAnsi="Cambria Math" w:cs="Times New Roman"/>
                    <w:sz w:val="18"/>
                    <w:szCs w:val="18"/>
                  </w:rPr>
                </m:ctrlPr>
              </m:sSupPr>
              <m:e>
                <m:r>
                  <m:rPr>
                    <m:nor/>
                  </m:rPr>
                  <w:rPr>
                    <w:rFonts w:ascii="Times New Roman" w:hAnsi="Times New Roman" w:cs="Times New Roman"/>
                    <w:i/>
                    <w:iCs/>
                    <w:sz w:val="18"/>
                    <w:szCs w:val="18"/>
                  </w:rPr>
                  <m:t>r</m:t>
                </m:r>
              </m:e>
              <m:sup>
                <m:r>
                  <m:rPr>
                    <m:nor/>
                  </m:rPr>
                  <w:rPr>
                    <w:rFonts w:ascii="Times New Roman" w:hAnsi="Times New Roman" w:cs="Times New Roman"/>
                    <w:sz w:val="18"/>
                    <w:szCs w:val="18"/>
                  </w:rPr>
                  <m:t>2</m:t>
                </m:r>
              </m:sup>
            </m:sSup>
            <m:r>
              <m:rPr>
                <m:nor/>
              </m:rPr>
              <w:rPr>
                <w:rFonts w:ascii="Times New Roman" w:hAnsi="Times New Roman" w:cs="Times New Roman"/>
                <w:i/>
                <w:iCs/>
                <w:sz w:val="18"/>
                <w:szCs w:val="18"/>
              </w:rPr>
              <m:t>ρ</m:t>
            </m:r>
            <m:d>
              <m:dPr>
                <m:begChr m:val="["/>
                <m:endChr m:val="]"/>
                <m:ctrlPr>
                  <w:rPr>
                    <w:rFonts w:ascii="Cambria Math" w:hAnsi="Cambria Math" w:cs="Times New Roman"/>
                    <w:sz w:val="18"/>
                    <w:szCs w:val="18"/>
                  </w:rPr>
                </m:ctrlPr>
              </m:dPr>
              <m:e>
                <m:sSub>
                  <m:sSubPr>
                    <m:ctrlPr>
                      <w:rPr>
                        <w:rFonts w:ascii="Cambria Math" w:hAnsi="Cambria Math" w:cs="Times New Roman"/>
                        <w:i/>
                        <w:iCs/>
                        <w:sz w:val="18"/>
                        <w:szCs w:val="18"/>
                      </w:rPr>
                    </m:ctrlPr>
                  </m:sSubPr>
                  <m:e>
                    <m:r>
                      <m:rPr>
                        <m:nor/>
                      </m:rPr>
                      <w:rPr>
                        <w:rFonts w:ascii="Times New Roman" w:hAnsi="Times New Roman" w:cs="Times New Roman"/>
                        <w:i/>
                        <w:iCs/>
                        <w:sz w:val="18"/>
                        <w:szCs w:val="18"/>
                      </w:rPr>
                      <m:t>g</m:t>
                    </m:r>
                  </m:e>
                  <m:sub>
                    <m:r>
                      <m:rPr>
                        <m:nor/>
                      </m:rPr>
                      <w:rPr>
                        <w:rFonts w:ascii="Times New Roman" w:hAnsi="Times New Roman" w:cs="Times New Roman"/>
                        <w:i/>
                        <w:iCs/>
                        <w:sz w:val="18"/>
                        <w:szCs w:val="18"/>
                      </w:rPr>
                      <m:t>αβ</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r</m:t>
                    </m:r>
                  </m:e>
                </m:d>
                <m:r>
                  <m:rPr>
                    <m:nor/>
                  </m:rPr>
                  <w:rPr>
                    <w:rFonts w:ascii="Times New Roman" w:hAnsi="Times New Roman" w:cs="Times New Roman"/>
                    <w:sz w:val="18"/>
                    <w:szCs w:val="18"/>
                  </w:rPr>
                  <m:t xml:space="preserve"> – 1</m:t>
                </m:r>
              </m:e>
            </m:d>
          </m:e>
        </m:nary>
        <m:func>
          <m:funcPr>
            <m:ctrlPr>
              <w:rPr>
                <w:rFonts w:ascii="Cambria Math" w:hAnsi="Cambria Math" w:cs="Times New Roman"/>
                <w:sz w:val="18"/>
                <w:szCs w:val="18"/>
              </w:rPr>
            </m:ctrlPr>
          </m:funcPr>
          <m:fName>
            <m:f>
              <m:fPr>
                <m:ctrlPr>
                  <w:rPr>
                    <w:rFonts w:ascii="Cambria Math" w:hAnsi="Cambria Math" w:cs="Times New Roman"/>
                    <w:sz w:val="18"/>
                    <w:szCs w:val="18"/>
                  </w:rPr>
                </m:ctrlPr>
              </m:fPr>
              <m:num>
                <m:r>
                  <m:rPr>
                    <m:nor/>
                  </m:rPr>
                  <w:rPr>
                    <w:rFonts w:ascii="Times New Roman" w:hAnsi="Times New Roman" w:cs="Times New Roman"/>
                    <w:sz w:val="18"/>
                    <w:szCs w:val="18"/>
                  </w:rPr>
                  <m:t>sin</m:t>
                </m:r>
                <m:d>
                  <m:dPr>
                    <m:ctrlPr>
                      <w:rPr>
                        <w:rFonts w:ascii="Cambria Math" w:hAnsi="Cambria Math" w:cs="Times New Roman"/>
                        <w:sz w:val="18"/>
                        <w:szCs w:val="18"/>
                      </w:rPr>
                    </m:ctrlPr>
                  </m:dPr>
                  <m:e>
                    <m:r>
                      <m:rPr>
                        <m:nor/>
                      </m:rPr>
                      <w:rPr>
                        <w:rFonts w:ascii="Times New Roman" w:hAnsi="Times New Roman" w:cs="Times New Roman"/>
                        <w:i/>
                        <w:iCs/>
                        <w:sz w:val="18"/>
                        <w:szCs w:val="18"/>
                      </w:rPr>
                      <m:t>Qr</m:t>
                    </m:r>
                  </m:e>
                </m:d>
              </m:num>
              <m:den>
                <m:r>
                  <m:rPr>
                    <m:nor/>
                  </m:rPr>
                  <w:rPr>
                    <w:rFonts w:ascii="Times New Roman" w:hAnsi="Times New Roman" w:cs="Times New Roman"/>
                    <w:i/>
                    <w:iCs/>
                    <w:sz w:val="18"/>
                    <w:szCs w:val="18"/>
                  </w:rPr>
                  <m:t>Qr</m:t>
                </m:r>
              </m:den>
            </m:f>
          </m:fName>
          <m:e>
            <m:r>
              <m:rPr>
                <m:nor/>
              </m:rPr>
              <w:rPr>
                <w:rFonts w:ascii="Times New Roman" w:hAnsi="Times New Roman" w:cs="Times New Roman"/>
                <w:sz w:val="18"/>
                <w:szCs w:val="18"/>
              </w:rPr>
              <m:t>d</m:t>
            </m:r>
            <m:r>
              <m:rPr>
                <m:nor/>
              </m:rPr>
              <w:rPr>
                <w:rFonts w:ascii="Times New Roman" w:hAnsi="Times New Roman" w:cs="Times New Roman"/>
                <w:i/>
                <w:iCs/>
                <w:sz w:val="18"/>
                <w:szCs w:val="18"/>
              </w:rPr>
              <m:t>r</m:t>
            </m:r>
          </m:e>
        </m:func>
      </m:oMath>
      <w:r w:rsidR="005C1841" w:rsidRPr="002C1A46">
        <w:rPr>
          <w:rFonts w:ascii="Times New Roman" w:hAnsi="Times New Roman" w:cs="Times New Roman"/>
          <w:sz w:val="18"/>
          <w:szCs w:val="18"/>
        </w:rPr>
        <w:t>.</w:t>
      </w:r>
      <w:r w:rsidR="005C1841" w:rsidRPr="002C1A46">
        <w:rPr>
          <w:rFonts w:ascii="Times New Roman" w:hAnsi="Times New Roman" w:cs="Times New Roman"/>
          <w:sz w:val="18"/>
          <w:szCs w:val="18"/>
        </w:rPr>
        <w:tab/>
      </w:r>
      <w:r w:rsidR="005C1841" w:rsidRPr="002C1A46">
        <w:rPr>
          <w:rFonts w:ascii="Times New Roman" w:hAnsi="Times New Roman" w:cs="Times New Roman"/>
          <w:sz w:val="18"/>
          <w:szCs w:val="18"/>
        </w:rPr>
        <w:tab/>
      </w:r>
      <w:r w:rsidR="005C1841" w:rsidRPr="002C1A46">
        <w:rPr>
          <w:rFonts w:ascii="Times New Roman" w:hAnsi="Times New Roman" w:cs="Times New Roman"/>
          <w:sz w:val="18"/>
          <w:szCs w:val="18"/>
        </w:rPr>
        <w:tab/>
      </w:r>
      <w:r w:rsidR="005C1841" w:rsidRPr="002C1A46">
        <w:rPr>
          <w:rFonts w:ascii="Times New Roman" w:hAnsi="Times New Roman" w:cs="Times New Roman"/>
          <w:sz w:val="18"/>
          <w:szCs w:val="18"/>
        </w:rPr>
        <w:tab/>
      </w:r>
      <w:r w:rsidR="005C1841" w:rsidRPr="002C1A46">
        <w:rPr>
          <w:rFonts w:ascii="Times New Roman" w:hAnsi="Times New Roman" w:cs="Times New Roman"/>
          <w:sz w:val="18"/>
          <w:szCs w:val="18"/>
        </w:rPr>
        <w:tab/>
        <w:t>(3)</w:t>
      </w:r>
    </w:p>
    <w:p w14:paraId="2572AD31" w14:textId="77777777" w:rsidR="002348F0" w:rsidRPr="002C1A46" w:rsidRDefault="002348F0" w:rsidP="008B7D27">
      <w:pPr>
        <w:spacing w:after="0"/>
        <w:jc w:val="both"/>
        <w:rPr>
          <w:rFonts w:ascii="Times New Roman" w:hAnsi="Times New Roman" w:cs="Times New Roman"/>
          <w:sz w:val="18"/>
          <w:szCs w:val="18"/>
        </w:rPr>
      </w:pPr>
    </w:p>
    <w:p w14:paraId="5C69B37E" w14:textId="3A82287B" w:rsidR="00A51935" w:rsidRPr="002C1A46" w:rsidRDefault="00A51935" w:rsidP="008B7D27">
      <w:pPr>
        <w:spacing w:after="0"/>
        <w:jc w:val="both"/>
        <w:rPr>
          <w:rFonts w:ascii="Times New Roman" w:hAnsi="Times New Roman" w:cs="Times New Roman"/>
          <w:sz w:val="18"/>
          <w:szCs w:val="18"/>
        </w:rPr>
      </w:pPr>
      <w:r w:rsidRPr="002C1A46">
        <w:rPr>
          <w:rFonts w:ascii="Times New Roman" w:hAnsi="Times New Roman" w:cs="Times New Roman"/>
          <w:sz w:val="18"/>
          <w:szCs w:val="18"/>
        </w:rPr>
        <w:t>The total structure factor can also be written in terms of the Bhatia–</w:t>
      </w:r>
      <w:r w:rsidR="00CF00BE" w:rsidRPr="002C1A46">
        <w:rPr>
          <w:rFonts w:ascii="Times New Roman" w:hAnsi="Times New Roman" w:cs="Times New Roman"/>
          <w:sz w:val="18"/>
          <w:szCs w:val="18"/>
        </w:rPr>
        <w:t>Thornton</w:t>
      </w:r>
      <w:r w:rsidR="00CF00BE" w:rsidRPr="002C1A46">
        <w:rPr>
          <w:rFonts w:ascii="Times New Roman" w:hAnsi="Times New Roman" w:cs="Times New Roman"/>
          <w:sz w:val="18"/>
          <w:szCs w:val="18"/>
          <w:vertAlign w:val="superscript"/>
        </w:rPr>
        <w:t>29</w:t>
      </w:r>
      <w:r w:rsidR="00CF00BE" w:rsidRPr="002C1A46">
        <w:rPr>
          <w:rFonts w:ascii="Times New Roman" w:hAnsi="Times New Roman" w:cs="Times New Roman"/>
          <w:sz w:val="18"/>
          <w:szCs w:val="18"/>
        </w:rPr>
        <w:t xml:space="preserve"> </w:t>
      </w:r>
      <w:r w:rsidRPr="002C1A46">
        <w:rPr>
          <w:rFonts w:ascii="Times New Roman" w:hAnsi="Times New Roman" w:cs="Times New Roman"/>
          <w:sz w:val="18"/>
          <w:szCs w:val="18"/>
        </w:rPr>
        <w:t xml:space="preserve">number–number, concentration–concentration, and number–concentration partial structure factors, denoted by </w:t>
      </w:r>
      <w:r w:rsidRPr="002C1A46">
        <w:rPr>
          <w:rFonts w:ascii="Times New Roman" w:hAnsi="Times New Roman" w:cs="Times New Roman"/>
          <w:i/>
          <w:iCs/>
          <w:sz w:val="18"/>
          <w:szCs w:val="18"/>
        </w:rPr>
        <w:t>S</w:t>
      </w:r>
      <w:r w:rsidRPr="002C1A46">
        <w:rPr>
          <w:rFonts w:ascii="Times New Roman" w:hAnsi="Times New Roman" w:cs="Times New Roman"/>
          <w:sz w:val="18"/>
          <w:szCs w:val="18"/>
          <w:vertAlign w:val="subscript"/>
        </w:rPr>
        <w:t>NN</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w:t>
      </w:r>
      <w:r w:rsidRPr="002C1A46">
        <w:rPr>
          <w:rFonts w:ascii="Times New Roman" w:hAnsi="Times New Roman" w:cs="Times New Roman"/>
          <w:i/>
          <w:iCs/>
          <w:sz w:val="18"/>
          <w:szCs w:val="18"/>
        </w:rPr>
        <w:t>S</w:t>
      </w:r>
      <w:r w:rsidRPr="002C1A46">
        <w:rPr>
          <w:rFonts w:ascii="Times New Roman" w:hAnsi="Times New Roman" w:cs="Times New Roman"/>
          <w:sz w:val="18"/>
          <w:szCs w:val="18"/>
          <w:vertAlign w:val="subscript"/>
        </w:rPr>
        <w:t>CC</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and </w:t>
      </w:r>
      <w:bookmarkStart w:id="0" w:name="OLE_LINK1"/>
      <w:r w:rsidRPr="007F680D">
        <w:rPr>
          <w:rFonts w:ascii="Times New Roman" w:hAnsi="Times New Roman" w:cs="Times New Roman"/>
          <w:i/>
          <w:iCs/>
          <w:sz w:val="18"/>
          <w:szCs w:val="18"/>
        </w:rPr>
        <w:t>S</w:t>
      </w:r>
      <w:r w:rsidRPr="007F680D">
        <w:rPr>
          <w:rFonts w:ascii="Times New Roman" w:hAnsi="Times New Roman" w:cs="Times New Roman"/>
          <w:sz w:val="18"/>
          <w:szCs w:val="18"/>
          <w:vertAlign w:val="subscript"/>
        </w:rPr>
        <w:t>NC</w:t>
      </w:r>
      <w:r w:rsidRPr="007F680D">
        <w:rPr>
          <w:rFonts w:ascii="Times New Roman" w:hAnsi="Times New Roman" w:cs="Times New Roman"/>
          <w:sz w:val="18"/>
          <w:szCs w:val="18"/>
        </w:rPr>
        <w:t>(</w:t>
      </w:r>
      <w:r w:rsidRPr="007F680D">
        <w:rPr>
          <w:rFonts w:ascii="Times New Roman" w:hAnsi="Times New Roman" w:cs="Times New Roman"/>
          <w:i/>
          <w:iCs/>
          <w:sz w:val="18"/>
          <w:szCs w:val="18"/>
        </w:rPr>
        <w:t>Q</w:t>
      </w:r>
      <w:r w:rsidRPr="007F680D">
        <w:rPr>
          <w:rFonts w:ascii="Times New Roman" w:hAnsi="Times New Roman" w:cs="Times New Roman"/>
          <w:sz w:val="18"/>
          <w:szCs w:val="18"/>
        </w:rPr>
        <w:t>)</w:t>
      </w:r>
      <w:bookmarkEnd w:id="0"/>
      <w:r w:rsidRPr="002C1A46">
        <w:rPr>
          <w:rFonts w:ascii="Times New Roman" w:hAnsi="Times New Roman" w:cs="Times New Roman"/>
          <w:sz w:val="18"/>
          <w:szCs w:val="18"/>
        </w:rPr>
        <w:t xml:space="preserve">, respectively, </w:t>
      </w:r>
      <w:proofErr w:type="gramStart"/>
      <w:r w:rsidRPr="002C1A46">
        <w:rPr>
          <w:rFonts w:ascii="Times New Roman" w:hAnsi="Times New Roman" w:cs="Times New Roman"/>
          <w:sz w:val="18"/>
          <w:szCs w:val="18"/>
        </w:rPr>
        <w:t>where</w:t>
      </w:r>
      <w:proofErr w:type="gramEnd"/>
    </w:p>
    <w:p w14:paraId="5157DF41" w14:textId="77777777" w:rsidR="00A51935" w:rsidRPr="002C1A46" w:rsidRDefault="00A51935" w:rsidP="008B7D27">
      <w:pPr>
        <w:spacing w:after="0"/>
        <w:jc w:val="both"/>
        <w:rPr>
          <w:rFonts w:ascii="Times New Roman" w:hAnsi="Times New Roman" w:cs="Times New Roman"/>
          <w:sz w:val="18"/>
          <w:szCs w:val="18"/>
        </w:rPr>
      </w:pPr>
    </w:p>
    <w:p w14:paraId="5569C8BD" w14:textId="19217946" w:rsidR="00A51935" w:rsidRPr="002C1A46" w:rsidRDefault="00A51935" w:rsidP="008B7D27">
      <w:pPr>
        <w:spacing w:after="0"/>
        <w:jc w:val="both"/>
        <w:rPr>
          <w:rFonts w:ascii="Times New Roman" w:hAnsi="Times New Roman" w:cs="Times New Roman"/>
          <w:sz w:val="18"/>
          <w:szCs w:val="18"/>
        </w:rPr>
      </w:pPr>
      <m:oMathPara>
        <m:oMathParaPr>
          <m:jc m:val="left"/>
        </m:oMathParaPr>
        <m:oMath>
          <m:r>
            <m:rPr>
              <m:nor/>
            </m:rPr>
            <w:rPr>
              <w:rFonts w:ascii="Times New Roman" w:hAnsi="Times New Roman" w:cs="Times New Roman"/>
              <w:sz w:val="18"/>
              <w:szCs w:val="18"/>
            </w:rPr>
            <m:t xml:space="preserve"> </m:t>
          </m:r>
          <m:r>
            <m:rPr>
              <m:nor/>
            </m:rPr>
            <w:rPr>
              <w:rFonts w:ascii="Times New Roman" w:hAnsi="Times New Roman" w:cs="Times New Roman"/>
              <w:i/>
              <w:iCs/>
              <w:sz w:val="18"/>
              <w:szCs w:val="18"/>
            </w:rPr>
            <m:t>S</m:t>
          </m:r>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p>
            <m:sSupPr>
              <m:ctrlPr>
                <w:rPr>
                  <w:rFonts w:ascii="Cambria Math" w:hAnsi="Cambria Math" w:cs="Times New Roman"/>
                  <w:sz w:val="18"/>
                  <w:szCs w:val="18"/>
                </w:rPr>
              </m:ctrlPr>
            </m:sSupPr>
            <m:e>
              <m:d>
                <m:dPr>
                  <m:begChr m:val="⟨"/>
                  <m:endChr m:val="⟩"/>
                  <m:ctrlPr>
                    <w:rPr>
                      <w:rFonts w:ascii="Cambria Math" w:hAnsi="Cambria Math" w:cs="Times New Roman"/>
                      <w:i/>
                      <w:sz w:val="18"/>
                      <w:szCs w:val="18"/>
                    </w:rPr>
                  </m:ctrlPr>
                </m:dPr>
                <m:e>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e>
              </m:d>
            </m:e>
            <m:sup>
              <m:r>
                <m:rPr>
                  <m:nor/>
                </m:rPr>
                <w:rPr>
                  <w:rFonts w:ascii="Times New Roman" w:hAnsi="Times New Roman" w:cs="Times New Roman"/>
                  <w:sz w:val="18"/>
                  <w:szCs w:val="18"/>
                </w:rPr>
                <m:t>2</m:t>
              </m:r>
            </m:sup>
          </m:sSup>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NN</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 1</m:t>
              </m:r>
            </m:e>
          </m:d>
        </m:oMath>
      </m:oMathPara>
    </w:p>
    <w:p w14:paraId="221F92BD" w14:textId="47F312FE" w:rsidR="00A51935" w:rsidRPr="002C1A46" w:rsidRDefault="00A51935" w:rsidP="00A51935">
      <w:pPr>
        <w:spacing w:after="0"/>
        <w:ind w:left="568" w:firstLine="284"/>
        <w:jc w:val="both"/>
        <w:rPr>
          <w:rFonts w:ascii="Times New Roman" w:hAnsi="Times New Roman" w:cs="Times New Roman"/>
          <w:sz w:val="18"/>
          <w:szCs w:val="18"/>
        </w:rPr>
      </w:pPr>
      <m:oMathPara>
        <m:oMathParaPr>
          <m:jc m:val="left"/>
        </m:oMathParaPr>
        <m:oMath>
          <m:r>
            <m:rPr>
              <m:nor/>
            </m:rPr>
            <w:rPr>
              <w:rFonts w:ascii="Times New Roman" w:hAnsi="Times New Roman" w:cs="Times New Roman"/>
              <w:sz w:val="18"/>
              <w:szCs w:val="18"/>
            </w:rPr>
            <m:t xml:space="preserve">+ </m:t>
          </m:r>
          <m:sSub>
            <m:sSubPr>
              <m:ctrlPr>
                <w:rPr>
                  <w:rFonts w:ascii="Cambria Math" w:hAnsi="Cambria Math" w:cs="Times New Roman"/>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sz w:val="18"/>
                  <w:szCs w:val="18"/>
                </w:rPr>
                <m:t>X</m:t>
              </m:r>
            </m:sub>
          </m:sSub>
          <m:sSup>
            <m:sSupPr>
              <m:ctrlPr>
                <w:rPr>
                  <w:rFonts w:ascii="Cambria Math" w:hAnsi="Cambria Math" w:cs="Times New Roman"/>
                  <w:sz w:val="18"/>
                  <w:szCs w:val="18"/>
                </w:rPr>
              </m:ctrlPr>
            </m:sSupPr>
            <m:e>
              <m:d>
                <m:dPr>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w</m:t>
                      </m:r>
                    </m:e>
                    <m:sub>
                      <m:r>
                        <m:rPr>
                          <m:nor/>
                        </m:rPr>
                        <w:rPr>
                          <w:rFonts w:ascii="Times New Roman" w:hAnsi="Times New Roman" w:cs="Times New Roman"/>
                          <w:sz w:val="18"/>
                          <w:szCs w:val="18"/>
                        </w:rPr>
                        <m:t>A</m:t>
                      </m:r>
                    </m:sub>
                  </m:sSub>
                  <m:d>
                    <m:dPr>
                      <m:ctrlPr>
                        <w:rPr>
                          <w:rFonts w:ascii="Cambria Math" w:hAnsi="Cambria Math" w:cs="Times New Roman"/>
                          <w:sz w:val="18"/>
                          <w:szCs w:val="18"/>
                        </w:rPr>
                      </m:ctrlPr>
                    </m:dPr>
                    <m:e>
                      <m:r>
                        <m:rPr>
                          <m:nor/>
                        </m:rPr>
                        <w:rPr>
                          <w:rFonts w:ascii="Times New Roman" w:hAnsi="Times New Roman" w:cs="Times New Roman"/>
                          <w:i/>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sz w:val="18"/>
                          <w:szCs w:val="18"/>
                        </w:rPr>
                        <m:t>w</m:t>
                      </m:r>
                    </m:e>
                    <m:sub>
                      <m:r>
                        <m:rPr>
                          <m:nor/>
                        </m:rPr>
                        <w:rPr>
                          <w:rFonts w:ascii="Times New Roman" w:hAnsi="Times New Roman" w:cs="Times New Roman"/>
                          <w:sz w:val="18"/>
                          <w:szCs w:val="18"/>
                        </w:rPr>
                        <m:t>X</m:t>
                      </m:r>
                    </m:sub>
                  </m:sSub>
                  <m:d>
                    <m:dPr>
                      <m:ctrlPr>
                        <w:rPr>
                          <w:rFonts w:ascii="Cambria Math" w:hAnsi="Cambria Math" w:cs="Times New Roman"/>
                          <w:sz w:val="18"/>
                          <w:szCs w:val="18"/>
                        </w:rPr>
                      </m:ctrlPr>
                    </m:dPr>
                    <m:e>
                      <m:r>
                        <m:rPr>
                          <m:nor/>
                        </m:rPr>
                        <w:rPr>
                          <w:rFonts w:ascii="Times New Roman" w:hAnsi="Times New Roman" w:cs="Times New Roman"/>
                          <w:i/>
                          <w:sz w:val="18"/>
                          <w:szCs w:val="18"/>
                        </w:rPr>
                        <m:t>Q</m:t>
                      </m:r>
                    </m:e>
                  </m:d>
                </m:e>
              </m:d>
            </m:e>
            <m:sup>
              <m:r>
                <m:rPr>
                  <m:nor/>
                </m:rPr>
                <w:rPr>
                  <w:rFonts w:ascii="Times New Roman" w:hAnsi="Times New Roman" w:cs="Times New Roman"/>
                  <w:sz w:val="18"/>
                  <w:szCs w:val="18"/>
                </w:rPr>
                <m:t>2</m:t>
              </m:r>
            </m:sup>
          </m:sSup>
          <m:r>
            <m:rPr>
              <m:nor/>
            </m:rPr>
            <w:rPr>
              <w:rFonts w:ascii="Times New Roman" w:hAnsi="Times New Roman" w:cs="Times New Roman"/>
              <w:sz w:val="18"/>
              <w:szCs w:val="18"/>
            </w:rPr>
            <m:t>×</m:t>
          </m:r>
          <m:d>
            <m:dPr>
              <m:begChr m:val="{"/>
              <m:endChr m:val="}"/>
              <m:ctrlPr>
                <w:rPr>
                  <w:rFonts w:ascii="Cambria Math" w:hAnsi="Cambria Math" w:cs="Times New Roman"/>
                  <w:i/>
                  <w:sz w:val="18"/>
                  <w:szCs w:val="18"/>
                </w:rPr>
              </m:ctrlPr>
            </m:dPr>
            <m:e>
              <m:d>
                <m:dPr>
                  <m:begChr m:val="["/>
                  <m:endChr m:val="]"/>
                  <m:ctrlPr>
                    <w:rPr>
                      <w:rFonts w:ascii="Cambria Math" w:hAnsi="Cambria Math" w:cs="Times New Roman"/>
                      <w:i/>
                      <w:sz w:val="18"/>
                      <w:szCs w:val="18"/>
                    </w:rPr>
                  </m:ctrlPr>
                </m:dPr>
                <m:e>
                  <m:sSub>
                    <m:sSubPr>
                      <m:ctrlPr>
                        <w:rPr>
                          <w:rFonts w:ascii="Cambria Math" w:hAnsi="Cambria Math" w:cs="Times New Roman"/>
                          <w:i/>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CC</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sSub>
                    <m:sSubPr>
                      <m:ctrlPr>
                        <w:rPr>
                          <w:rFonts w:ascii="Cambria Math" w:hAnsi="Cambria Math" w:cs="Times New Roman"/>
                          <w:i/>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i/>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e>
              </m:d>
              <m:r>
                <m:rPr>
                  <m:nor/>
                </m:rPr>
                <w:rPr>
                  <w:rFonts w:ascii="Cambria Math" w:hAnsi="Times New Roman" w:cs="Times New Roman"/>
                  <w:sz w:val="18"/>
                  <w:szCs w:val="18"/>
                </w:rPr>
                <m:t xml:space="preserve"> </m:t>
              </m:r>
              <m:r>
                <m:rPr>
                  <m:nor/>
                </m:rPr>
                <w:rPr>
                  <w:rFonts w:ascii="Cambria Math" w:hAnsi="Times New Roman" w:cs="Times New Roman"/>
                  <w:sz w:val="18"/>
                  <w:szCs w:val="18"/>
                </w:rPr>
                <m:t>–</m:t>
              </m:r>
              <m:r>
                <m:rPr>
                  <m:nor/>
                </m:rPr>
                <w:rPr>
                  <w:rFonts w:ascii="Cambria Math" w:hAnsi="Times New Roman" w:cs="Times New Roman"/>
                  <w:sz w:val="18"/>
                  <w:szCs w:val="18"/>
                </w:rPr>
                <m:t xml:space="preserve"> </m:t>
              </m:r>
              <m:r>
                <m:rPr>
                  <m:nor/>
                </m:rPr>
                <w:rPr>
                  <w:rFonts w:ascii="Times New Roman" w:hAnsi="Times New Roman" w:cs="Times New Roman"/>
                  <w:sz w:val="18"/>
                  <w:szCs w:val="18"/>
                </w:rPr>
                <m:t>1</m:t>
              </m:r>
            </m:e>
          </m:d>
        </m:oMath>
      </m:oMathPara>
    </w:p>
    <w:p w14:paraId="649ECF09" w14:textId="2F86E73D" w:rsidR="00A51935" w:rsidRPr="002C1A46" w:rsidRDefault="00A51935" w:rsidP="00C705E2">
      <w:pPr>
        <w:spacing w:after="0"/>
        <w:ind w:left="284" w:firstLine="284"/>
        <w:jc w:val="both"/>
        <w:rPr>
          <w:rFonts w:ascii="Times New Roman" w:hAnsi="Times New Roman" w:cs="Times New Roman"/>
          <w:iCs/>
          <w:sz w:val="18"/>
          <w:szCs w:val="18"/>
        </w:rPr>
      </w:pPr>
      <m:oMath>
        <m:r>
          <m:rPr>
            <m:nor/>
          </m:rPr>
          <w:rPr>
            <w:rFonts w:ascii="Times New Roman" w:hAnsi="Times New Roman" w:cs="Times New Roman"/>
            <w:sz w:val="18"/>
            <w:szCs w:val="18"/>
          </w:rPr>
          <m:t>+ 2</m:t>
        </m:r>
        <m:r>
          <m:rPr>
            <m:nor/>
          </m:rPr>
          <w:rPr>
            <w:rFonts w:ascii="Cambria Math" w:hAnsi="Cambria Math" w:cs="Cambria Math"/>
            <w:sz w:val="18"/>
            <w:szCs w:val="18"/>
          </w:rPr>
          <m:t>〈</m:t>
        </m:r>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r>
          <m:rPr>
            <m:nor/>
          </m:rPr>
          <w:rPr>
            <w:rFonts w:ascii="Cambria Math" w:hAnsi="Cambria Math" w:cs="Cambria Math"/>
            <w:sz w:val="18"/>
            <w:szCs w:val="18"/>
          </w:rPr>
          <m:t>〉</m:t>
        </m:r>
        <m:d>
          <m:dPr>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w</m:t>
                </m:r>
              </m:e>
              <m:sub>
                <m:r>
                  <m:rPr>
                    <m:nor/>
                  </m:rPr>
                  <w:rPr>
                    <w:rFonts w:ascii="Times New Roman" w:hAnsi="Times New Roman" w:cs="Times New Roman"/>
                    <w:sz w:val="18"/>
                    <w:szCs w:val="18"/>
                  </w:rPr>
                  <m:t>A</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w</m:t>
                </m:r>
              </m:e>
              <m:sub>
                <m:r>
                  <m:rPr>
                    <m:nor/>
                  </m:rPr>
                  <w:rPr>
                    <w:rFonts w:ascii="Times New Roman" w:hAnsi="Times New Roman" w:cs="Times New Roman"/>
                    <w:sz w:val="18"/>
                    <w:szCs w:val="18"/>
                  </w:rPr>
                  <m:t>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e>
        </m:d>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NC</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oMath>
      <w:r w:rsidR="00C705E2" w:rsidRPr="002C1A46">
        <w:rPr>
          <w:rFonts w:ascii="Times New Roman" w:hAnsi="Times New Roman" w:cs="Times New Roman"/>
          <w:iCs/>
          <w:sz w:val="18"/>
          <w:szCs w:val="18"/>
        </w:rPr>
        <w:t>,</w:t>
      </w:r>
      <w:r w:rsidR="00C705E2" w:rsidRPr="002C1A46">
        <w:rPr>
          <w:rFonts w:ascii="Times New Roman" w:hAnsi="Times New Roman" w:cs="Times New Roman"/>
          <w:iCs/>
          <w:sz w:val="18"/>
          <w:szCs w:val="18"/>
        </w:rPr>
        <w:tab/>
      </w:r>
      <w:r w:rsidR="00C705E2" w:rsidRPr="002C1A46">
        <w:rPr>
          <w:rFonts w:ascii="Times New Roman" w:hAnsi="Times New Roman" w:cs="Times New Roman"/>
          <w:iCs/>
          <w:sz w:val="18"/>
          <w:szCs w:val="18"/>
        </w:rPr>
        <w:tab/>
      </w:r>
      <w:r w:rsidR="00C705E2" w:rsidRPr="002C1A46">
        <w:rPr>
          <w:rFonts w:ascii="Times New Roman" w:hAnsi="Times New Roman" w:cs="Times New Roman"/>
          <w:iCs/>
          <w:sz w:val="18"/>
          <w:szCs w:val="18"/>
        </w:rPr>
        <w:tab/>
      </w:r>
      <w:r w:rsidR="00C705E2" w:rsidRPr="002C1A46">
        <w:rPr>
          <w:rFonts w:ascii="Times New Roman" w:hAnsi="Times New Roman" w:cs="Times New Roman"/>
          <w:iCs/>
          <w:sz w:val="18"/>
          <w:szCs w:val="18"/>
        </w:rPr>
        <w:tab/>
      </w:r>
      <w:r w:rsidR="00C705E2" w:rsidRPr="002C1A46">
        <w:rPr>
          <w:rFonts w:ascii="Times New Roman" w:hAnsi="Times New Roman" w:cs="Times New Roman"/>
          <w:iCs/>
          <w:sz w:val="18"/>
          <w:szCs w:val="18"/>
        </w:rPr>
        <w:tab/>
        <w:t>(4)</w:t>
      </w:r>
    </w:p>
    <w:p w14:paraId="054BC089" w14:textId="77777777" w:rsidR="00A51935" w:rsidRPr="002C1A46" w:rsidRDefault="00A51935" w:rsidP="008B7D27">
      <w:pPr>
        <w:spacing w:after="0"/>
        <w:jc w:val="both"/>
        <w:rPr>
          <w:rFonts w:ascii="Times New Roman" w:hAnsi="Times New Roman" w:cs="Times New Roman"/>
          <w:sz w:val="18"/>
          <w:szCs w:val="18"/>
        </w:rPr>
      </w:pPr>
    </w:p>
    <w:p w14:paraId="1E71C412" w14:textId="45365204" w:rsidR="00B114C5" w:rsidRPr="002C1A46" w:rsidRDefault="00B114C5" w:rsidP="00B114C5">
      <w:pPr>
        <w:spacing w:after="0"/>
        <w:jc w:val="both"/>
        <w:rPr>
          <w:rFonts w:ascii="Times New Roman" w:hAnsi="Times New Roman" w:cs="Times New Roman"/>
          <w:sz w:val="18"/>
          <w:szCs w:val="18"/>
        </w:rPr>
      </w:pPr>
      <w:r w:rsidRPr="002C1A46">
        <w:rPr>
          <w:rFonts w:ascii="Times New Roman" w:hAnsi="Times New Roman" w:cs="Times New Roman"/>
          <w:sz w:val="18"/>
          <w:szCs w:val="18"/>
          <w:lang w:eastAsia="ja-JP"/>
        </w:rPr>
        <w:t xml:space="preserve">and </w:t>
      </w:r>
      <m:oMath>
        <m:d>
          <m:dPr>
            <m:begChr m:val="〈"/>
            <m:endChr m:val="〉"/>
            <m:ctrlPr>
              <w:rPr>
                <w:rFonts w:ascii="Cambria Math" w:hAnsi="Cambria Math" w:cs="Times New Roman"/>
                <w:i/>
                <w:sz w:val="18"/>
                <w:szCs w:val="18"/>
              </w:rPr>
            </m:ctrlPr>
          </m:dPr>
          <m:e>
            <m:r>
              <m:rPr>
                <m:nor/>
              </m:rPr>
              <w:rPr>
                <w:rFonts w:ascii="Times New Roman" w:hAnsi="Times New Roman" w:cs="Times New Roman"/>
                <w:i/>
                <w:iCs/>
                <w:sz w:val="18"/>
                <w:szCs w:val="18"/>
              </w:rPr>
              <m:t>w</m:t>
            </m:r>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e>
        </m:d>
        <m:r>
          <m:rPr>
            <m:nor/>
          </m:rPr>
          <w:rPr>
            <w:rFonts w:ascii="Times New Roman" w:hAnsi="Times New Roman" w:cs="Times New Roman"/>
            <w:sz w:val="18"/>
            <w:szCs w:val="18"/>
          </w:rPr>
          <m:t xml:space="preserve"> = </m:t>
        </m:r>
        <m:sSub>
          <m:sSubPr>
            <m:ctrlPr>
              <w:rPr>
                <w:rFonts w:ascii="Cambria Math" w:hAnsi="Cambria Math" w:cs="Times New Roman"/>
                <w:i/>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iCs/>
                <w:sz w:val="18"/>
                <w:szCs w:val="18"/>
              </w:rPr>
              <m:t>A</m:t>
            </m:r>
          </m:sub>
        </m:sSub>
        <m:sSub>
          <m:sSubPr>
            <m:ctrlPr>
              <w:rPr>
                <w:rFonts w:ascii="Cambria Math" w:hAnsi="Cambria Math" w:cs="Times New Roman"/>
                <w:i/>
                <w:sz w:val="18"/>
                <w:szCs w:val="18"/>
              </w:rPr>
            </m:ctrlPr>
          </m:sSubPr>
          <m:e>
            <m:r>
              <m:rPr>
                <m:nor/>
              </m:rPr>
              <w:rPr>
                <w:rFonts w:ascii="Times New Roman" w:hAnsi="Times New Roman" w:cs="Times New Roman"/>
                <w:i/>
                <w:sz w:val="18"/>
                <w:szCs w:val="18"/>
              </w:rPr>
              <m:t>w</m:t>
            </m:r>
          </m:e>
          <m:sub>
            <m:r>
              <m:rPr>
                <m:nor/>
              </m:rPr>
              <w:rPr>
                <w:rFonts w:ascii="Times New Roman" w:hAnsi="Times New Roman" w:cs="Times New Roman"/>
                <w:iCs/>
                <w:sz w:val="18"/>
                <w:szCs w:val="18"/>
              </w:rPr>
              <m:t>A</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r>
          <w:rPr>
            <w:rFonts w:ascii="Cambria Math" w:hAnsi="Cambria Math" w:cs="Times New Roman"/>
            <w:sz w:val="18"/>
            <w:szCs w:val="18"/>
          </w:rPr>
          <m:t>+</m:t>
        </m:r>
        <m:sSub>
          <m:sSubPr>
            <m:ctrlPr>
              <w:rPr>
                <w:rFonts w:ascii="Cambria Math" w:hAnsi="Cambria Math" w:cs="Times New Roman"/>
                <w:i/>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iCs/>
                <w:sz w:val="18"/>
                <w:szCs w:val="18"/>
              </w:rPr>
              <m:t>X</m:t>
            </m:r>
          </m:sub>
        </m:sSub>
        <m:sSub>
          <m:sSubPr>
            <m:ctrlPr>
              <w:rPr>
                <w:rFonts w:ascii="Cambria Math" w:hAnsi="Cambria Math" w:cs="Times New Roman"/>
                <w:i/>
                <w:sz w:val="18"/>
                <w:szCs w:val="18"/>
              </w:rPr>
            </m:ctrlPr>
          </m:sSubPr>
          <m:e>
            <m:r>
              <m:rPr>
                <m:nor/>
              </m:rPr>
              <w:rPr>
                <w:rFonts w:ascii="Times New Roman" w:hAnsi="Times New Roman" w:cs="Times New Roman"/>
                <w:i/>
                <w:sz w:val="18"/>
                <w:szCs w:val="18"/>
              </w:rPr>
              <m:t>w</m:t>
            </m:r>
          </m:e>
          <m:sub>
            <m:r>
              <m:rPr>
                <m:nor/>
              </m:rPr>
              <w:rPr>
                <w:rFonts w:ascii="Times New Roman" w:hAnsi="Times New Roman" w:cs="Times New Roman"/>
                <w:iCs/>
                <w:sz w:val="18"/>
                <w:szCs w:val="18"/>
              </w:rPr>
              <m:t>X</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m:t>
        </m:r>
        <m:r>
          <m:rPr>
            <m:nor/>
          </m:rPr>
          <w:rPr>
            <w:rFonts w:ascii="Cambria Math" w:hAnsi="Times New Roman" w:cs="Times New Roman"/>
            <w:sz w:val="18"/>
            <w:szCs w:val="18"/>
          </w:rPr>
          <m:t>.</m:t>
        </m:r>
      </m:oMath>
      <w:r w:rsidRPr="002C1A46">
        <w:rPr>
          <w:rFonts w:ascii="Times New Roman" w:hAnsi="Times New Roman" w:cs="Times New Roman"/>
          <w:sz w:val="18"/>
          <w:szCs w:val="18"/>
        </w:rPr>
        <w:t xml:space="preserve"> The Bhatia–Thornton (BT) structure factors, </w:t>
      </w:r>
      <w:proofErr w:type="spellStart"/>
      <w:r w:rsidRPr="002C1A46">
        <w:rPr>
          <w:rFonts w:ascii="Times New Roman" w:hAnsi="Times New Roman" w:cs="Times New Roman"/>
          <w:i/>
          <w:iCs/>
          <w:sz w:val="18"/>
          <w:szCs w:val="18"/>
        </w:rPr>
        <w:t>S</w:t>
      </w:r>
      <w:r w:rsidRPr="002C1A46">
        <w:rPr>
          <w:rFonts w:ascii="Times New Roman" w:hAnsi="Times New Roman" w:cs="Times New Roman"/>
          <w:i/>
          <w:iCs/>
          <w:sz w:val="18"/>
          <w:szCs w:val="18"/>
          <w:vertAlign w:val="subscript"/>
        </w:rPr>
        <w:t>ij</w:t>
      </w:r>
      <w:proofErr w:type="spellEnd"/>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w:t>
      </w:r>
      <w:proofErr w:type="spellStart"/>
      <w:r w:rsidRPr="002C1A46">
        <w:rPr>
          <w:rFonts w:ascii="Times New Roman" w:hAnsi="Times New Roman" w:cs="Times New Roman"/>
          <w:i/>
          <w:iCs/>
          <w:sz w:val="18"/>
          <w:szCs w:val="18"/>
        </w:rPr>
        <w:t>i</w:t>
      </w:r>
      <w:proofErr w:type="spellEnd"/>
      <w:r w:rsidRPr="002C1A46">
        <w:rPr>
          <w:rFonts w:ascii="Times New Roman" w:hAnsi="Times New Roman" w:cs="Times New Roman"/>
          <w:sz w:val="18"/>
          <w:szCs w:val="18"/>
        </w:rPr>
        <w:t xml:space="preserve">, </w:t>
      </w:r>
      <w:r w:rsidRPr="002C1A46">
        <w:rPr>
          <w:rFonts w:ascii="Times New Roman" w:hAnsi="Times New Roman" w:cs="Times New Roman"/>
          <w:i/>
          <w:iCs/>
          <w:sz w:val="18"/>
          <w:szCs w:val="18"/>
        </w:rPr>
        <w:t>j</w:t>
      </w:r>
      <w:r w:rsidRPr="002C1A46">
        <w:rPr>
          <w:rFonts w:ascii="Times New Roman" w:hAnsi="Times New Roman" w:cs="Times New Roman"/>
          <w:sz w:val="18"/>
          <w:szCs w:val="18"/>
        </w:rPr>
        <w:t xml:space="preserve"> = N, C), are related to the FZ partial structure factors </w:t>
      </w:r>
      <w:r w:rsidRPr="002C1A46">
        <w:rPr>
          <w:rFonts w:ascii="Times New Roman" w:hAnsi="Times New Roman" w:cs="Times New Roman"/>
          <w:i/>
          <w:iCs/>
          <w:sz w:val="18"/>
          <w:szCs w:val="18"/>
        </w:rPr>
        <w:t>S</w:t>
      </w:r>
      <w:r w:rsidRPr="002C1A46">
        <w:rPr>
          <w:rFonts w:ascii="Times New Roman" w:hAnsi="Times New Roman" w:cs="Times New Roman"/>
          <w:i/>
          <w:iCs/>
          <w:sz w:val="18"/>
          <w:szCs w:val="18"/>
          <w:vertAlign w:val="subscript"/>
        </w:rPr>
        <w:t>αβ</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via the following relations:</w:t>
      </w:r>
    </w:p>
    <w:p w14:paraId="62FCC1EF" w14:textId="77777777" w:rsidR="00D11802" w:rsidRPr="002C1A46" w:rsidRDefault="00D11802" w:rsidP="00B114C5">
      <w:pPr>
        <w:spacing w:after="0"/>
        <w:jc w:val="both"/>
        <w:rPr>
          <w:rFonts w:ascii="Times New Roman" w:hAnsi="Times New Roman" w:cs="Times New Roman"/>
          <w:sz w:val="18"/>
          <w:szCs w:val="18"/>
        </w:rPr>
      </w:pPr>
    </w:p>
    <w:p w14:paraId="21715115" w14:textId="36917666" w:rsidR="00D11802" w:rsidRPr="002C1A46" w:rsidRDefault="00D11802" w:rsidP="00B114C5">
      <w:pPr>
        <w:spacing w:after="0"/>
        <w:jc w:val="both"/>
        <w:rPr>
          <w:rFonts w:ascii="Times New Roman" w:hAnsi="Times New Roman" w:cs="Times New Roman"/>
          <w:sz w:val="18"/>
          <w:szCs w:val="18"/>
        </w:rPr>
      </w:pPr>
      <m:oMath>
        <m:r>
          <m:rPr>
            <m:nor/>
          </m:rPr>
          <w:rPr>
            <w:rFonts w:ascii="Times New Roman" w:hAnsi="Times New Roman" w:cs="Times New Roman"/>
            <w:sz w:val="18"/>
            <w:szCs w:val="18"/>
          </w:rPr>
          <m:t xml:space="preserve"> </m:t>
        </m:r>
        <m:sSub>
          <m:sSubPr>
            <m:ctrlPr>
              <w:rPr>
                <w:rFonts w:ascii="Cambria Math" w:hAnsi="Cambria Math" w:cs="Times New Roman"/>
                <w:i/>
                <w:iCs/>
                <w:sz w:val="18"/>
                <w:szCs w:val="18"/>
              </w:rPr>
            </m:ctrlPr>
          </m:sSubPr>
          <m:e>
            <m:r>
              <m:rPr>
                <m:nor/>
              </m:rPr>
              <w:rPr>
                <w:rFonts w:ascii="Times New Roman" w:hAnsi="Times New Roman" w:cs="Times New Roman"/>
                <w:i/>
                <w:sz w:val="18"/>
                <w:szCs w:val="18"/>
              </w:rPr>
              <m:t>S</m:t>
            </m:r>
          </m:e>
          <m:sub>
            <m:r>
              <m:rPr>
                <m:nor/>
              </m:rPr>
              <w:rPr>
                <w:rFonts w:ascii="Times New Roman" w:hAnsi="Times New Roman" w:cs="Times New Roman"/>
                <w:sz w:val="18"/>
                <w:szCs w:val="18"/>
              </w:rPr>
              <m:t>NN</m:t>
            </m:r>
          </m:sub>
        </m:sSub>
        <m:r>
          <m:rPr>
            <m:nor/>
          </m:rPr>
          <w:rPr>
            <w:rFonts w:ascii="Times New Roman" w:hAnsi="Times New Roman" w:cs="Times New Roman"/>
            <w:sz w:val="18"/>
            <w:szCs w:val="18"/>
          </w:rPr>
          <m:t>(</m:t>
        </m:r>
        <m:r>
          <m:rPr>
            <m:nor/>
          </m:rPr>
          <w:rPr>
            <w:rFonts w:ascii="Times New Roman" w:hAnsi="Times New Roman" w:cs="Times New Roman"/>
            <w:i/>
            <w:sz w:val="18"/>
            <w:szCs w:val="18"/>
          </w:rPr>
          <m:t>Q</m:t>
        </m:r>
        <m:r>
          <m:rPr>
            <m:nor/>
          </m:rPr>
          <w:rPr>
            <w:rFonts w:ascii="Times New Roman" w:hAnsi="Times New Roman" w:cs="Times New Roman"/>
            <w:sz w:val="18"/>
            <w:szCs w:val="18"/>
          </w:rPr>
          <m:t xml:space="preserve">) = </m:t>
        </m:r>
        <m:sSub>
          <m:sSubPr>
            <m:ctrlPr>
              <w:rPr>
                <w:rFonts w:ascii="Cambria Math" w:hAnsi="Cambria Math" w:cs="Times New Roman"/>
                <w:i/>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i/>
                <w:sz w:val="18"/>
                <w:szCs w:val="18"/>
              </w:rPr>
            </m:ctrlPr>
          </m:sSubPr>
          <m:e>
            <m:r>
              <m:rPr>
                <m:nor/>
              </m:rPr>
              <w:rPr>
                <w:rFonts w:ascii="Times New Roman" w:hAnsi="Times New Roman" w:cs="Times New Roman"/>
                <w:i/>
                <w:sz w:val="18"/>
                <w:szCs w:val="18"/>
              </w:rPr>
              <m:t>S</m:t>
            </m:r>
          </m:e>
          <m:sub>
            <m:r>
              <m:rPr>
                <m:nor/>
              </m:rPr>
              <w:rPr>
                <w:rFonts w:ascii="Times New Roman" w:hAnsi="Times New Roman" w:cs="Times New Roman"/>
                <w:sz w:val="18"/>
                <w:szCs w:val="18"/>
              </w:rPr>
              <m:t>AA</m:t>
            </m:r>
          </m:sub>
        </m:sSub>
        <m:d>
          <m:dPr>
            <m:ctrlPr>
              <w:rPr>
                <w:rFonts w:ascii="Cambria Math" w:hAnsi="Cambria Math" w:cs="Times New Roman"/>
                <w:iCs/>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i/>
                <w:sz w:val="18"/>
                <w:szCs w:val="18"/>
              </w:rPr>
            </m:ctrlPr>
          </m:sSubPr>
          <m:e>
            <m:r>
              <m:rPr>
                <m:nor/>
              </m:rPr>
              <w:rPr>
                <w:rFonts w:ascii="Times New Roman" w:hAnsi="Times New Roman" w:cs="Times New Roman"/>
                <w:i/>
                <w:sz w:val="18"/>
                <w:szCs w:val="18"/>
              </w:rPr>
              <m:t>c</m:t>
            </m:r>
          </m:e>
          <m:sub>
            <m:r>
              <m:rPr>
                <m:nor/>
              </m:rPr>
              <w:rPr>
                <w:rFonts w:ascii="Times New Roman" w:hAnsi="Times New Roman" w:cs="Times New Roman"/>
                <w:sz w:val="18"/>
                <w:szCs w:val="18"/>
              </w:rPr>
              <m:t>X</m:t>
            </m:r>
          </m:sub>
        </m:sSub>
        <m:sSub>
          <m:sSubPr>
            <m:ctrlPr>
              <w:rPr>
                <w:rFonts w:ascii="Cambria Math" w:hAnsi="Cambria Math" w:cs="Times New Roman"/>
                <w:i/>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XX</m:t>
            </m:r>
          </m:sub>
        </m:sSub>
        <m:d>
          <m:dPr>
            <m:ctrlPr>
              <w:rPr>
                <w:rFonts w:ascii="Cambria Math" w:hAnsi="Cambria Math" w:cs="Times New Roman"/>
                <w:iCs/>
                <w:sz w:val="18"/>
                <w:szCs w:val="18"/>
              </w:rPr>
            </m:ctrlPr>
          </m:dPr>
          <m:e>
            <m:r>
              <m:rPr>
                <m:nor/>
              </m:rPr>
              <w:rPr>
                <w:rFonts w:ascii="Times New Roman" w:hAnsi="Times New Roman" w:cs="Times New Roman"/>
                <w:i/>
                <w:sz w:val="18"/>
                <w:szCs w:val="18"/>
              </w:rPr>
              <m:t>Q</m:t>
            </m:r>
          </m:e>
        </m:d>
        <m:r>
          <m:rPr>
            <m:nor/>
          </m:rPr>
          <w:rPr>
            <w:rFonts w:ascii="Times New Roman" w:hAnsi="Times New Roman" w:cs="Times New Roman"/>
            <w:sz w:val="18"/>
            <w:szCs w:val="18"/>
          </w:rPr>
          <m:t xml:space="preserve"> + 2</m:t>
        </m:r>
        <m:sSub>
          <m:sSubPr>
            <m:ctrlPr>
              <w:rPr>
                <w:rFonts w:ascii="Cambria Math" w:hAnsi="Cambria Math" w:cs="Times New Roman"/>
                <w:i/>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i/>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sSub>
          <m:sSubPr>
            <m:ctrlPr>
              <w:rPr>
                <w:rFonts w:ascii="Cambria Math" w:hAnsi="Cambria Math" w:cs="Times New Roman"/>
                <w:i/>
                <w:sz w:val="18"/>
                <w:szCs w:val="18"/>
              </w:rPr>
            </m:ctrlPr>
          </m:sSubPr>
          <m:e>
            <m:r>
              <m:rPr>
                <m:nor/>
              </m:rPr>
              <w:rPr>
                <w:rFonts w:ascii="Times New Roman" w:hAnsi="Times New Roman" w:cs="Times New Roman"/>
                <w:i/>
                <w:sz w:val="18"/>
                <w:szCs w:val="18"/>
              </w:rPr>
              <m:t>S</m:t>
            </m:r>
          </m:e>
          <m:sub>
            <m:r>
              <m:rPr>
                <m:nor/>
              </m:rPr>
              <w:rPr>
                <w:rFonts w:ascii="Times New Roman" w:hAnsi="Times New Roman" w:cs="Times New Roman"/>
                <w:sz w:val="18"/>
                <w:szCs w:val="18"/>
              </w:rPr>
              <m:t>AX</m:t>
            </m:r>
          </m:sub>
        </m:sSub>
        <m:d>
          <m:dPr>
            <m:ctrlPr>
              <w:rPr>
                <w:rFonts w:ascii="Cambria Math" w:hAnsi="Cambria Math" w:cs="Times New Roman"/>
                <w:iCs/>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m:t>
        </m:r>
      </m:oMath>
      <w:r w:rsidR="00FB4A17" w:rsidRPr="002C1A46">
        <w:rPr>
          <w:rFonts w:ascii="Times New Roman" w:hAnsi="Times New Roman" w:cs="Times New Roman"/>
          <w:sz w:val="18"/>
          <w:szCs w:val="18"/>
        </w:rPr>
        <w:tab/>
      </w:r>
      <w:r w:rsidR="00FB4A17" w:rsidRPr="002C1A46">
        <w:rPr>
          <w:rFonts w:ascii="Times New Roman" w:hAnsi="Times New Roman" w:cs="Times New Roman"/>
          <w:sz w:val="18"/>
          <w:szCs w:val="18"/>
        </w:rPr>
        <w:tab/>
      </w:r>
      <w:r w:rsidR="00FB4A17" w:rsidRPr="002C1A46">
        <w:rPr>
          <w:rFonts w:ascii="Times New Roman" w:hAnsi="Times New Roman" w:cs="Times New Roman"/>
          <w:sz w:val="18"/>
          <w:szCs w:val="18"/>
        </w:rPr>
        <w:tab/>
        <w:t>(5)</w:t>
      </w:r>
    </w:p>
    <w:p w14:paraId="5B065345" w14:textId="77777777" w:rsidR="00D11802" w:rsidRPr="002C1A46" w:rsidRDefault="00D11802" w:rsidP="008B7D27">
      <w:pPr>
        <w:spacing w:after="0"/>
        <w:jc w:val="both"/>
        <w:rPr>
          <w:rFonts w:ascii="Times New Roman" w:hAnsi="Times New Roman" w:cs="Times New Roman"/>
          <w:sz w:val="18"/>
          <w:szCs w:val="18"/>
        </w:rPr>
      </w:pPr>
    </w:p>
    <w:p w14:paraId="51CB24CD" w14:textId="06241E1F" w:rsidR="00D11802" w:rsidRPr="002C1A46" w:rsidRDefault="00000000" w:rsidP="008B7D27">
      <w:pPr>
        <w:spacing w:after="0"/>
        <w:jc w:val="both"/>
        <w:rPr>
          <w:rFonts w:ascii="Times New Roman" w:hAnsi="Times New Roman" w:cs="Times New Roman"/>
          <w:sz w:val="18"/>
          <w:szCs w:val="18"/>
        </w:rPr>
      </w:pPr>
      <m:oMath>
        <m:sSub>
          <m:sSubPr>
            <m:ctrlPr>
              <w:rPr>
                <w:rFonts w:ascii="Cambria Math" w:hAnsi="Cambria Math" w:cs="Times New Roman"/>
                <w:sz w:val="18"/>
                <w:szCs w:val="18"/>
              </w:rPr>
            </m:ctrlPr>
          </m:sSubPr>
          <m:e>
            <m:r>
              <m:rPr>
                <m:nor/>
              </m:rPr>
              <w:rPr>
                <w:rFonts w:ascii="Cambria Math" w:hAnsi="Times New Roman" w:cs="Times New Roman"/>
                <w:sz w:val="18"/>
                <w:szCs w:val="18"/>
              </w:rPr>
              <m:t xml:space="preserve"> </m:t>
            </m:r>
            <m:r>
              <m:rPr>
                <m:nor/>
              </m:rPr>
              <w:rPr>
                <w:rFonts w:ascii="Times New Roman" w:hAnsi="Times New Roman" w:cs="Times New Roman"/>
                <w:i/>
                <w:iCs/>
                <w:sz w:val="18"/>
                <w:szCs w:val="18"/>
              </w:rPr>
              <m:t>S</m:t>
            </m:r>
          </m:e>
          <m:sub>
            <m:r>
              <m:rPr>
                <m:nor/>
              </m:rPr>
              <w:rPr>
                <w:rFonts w:ascii="Times New Roman" w:hAnsi="Times New Roman" w:cs="Times New Roman"/>
                <w:sz w:val="18"/>
                <w:szCs w:val="18"/>
              </w:rPr>
              <m:t>CC</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d>
          <m:dPr>
            <m:begChr m:val="{"/>
            <m:endChr m:val="}"/>
            <m:ctrlPr>
              <w:rPr>
                <w:rFonts w:ascii="Cambria Math" w:hAnsi="Cambria Math" w:cs="Times New Roman"/>
                <w:sz w:val="18"/>
                <w:szCs w:val="18"/>
              </w:rPr>
            </m:ctrlPr>
          </m:dPr>
          <m:e>
            <m:r>
              <m:rPr>
                <m:nor/>
              </m:rPr>
              <w:rPr>
                <w:rFonts w:ascii="Times New Roman" w:hAnsi="Times New Roman" w:cs="Times New Roman"/>
                <w:sz w:val="18"/>
                <w:szCs w:val="18"/>
              </w:rPr>
              <m:t xml:space="preserve">1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AA</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sz w:val="18"/>
                        <w:szCs w:val="18"/>
                      </w:rPr>
                      <m:t>S</m:t>
                    </m:r>
                  </m:e>
                  <m:sub>
                    <m:r>
                      <m:rPr>
                        <m:nor/>
                      </m:rPr>
                      <w:rPr>
                        <w:rFonts w:ascii="Times New Roman" w:hAnsi="Times New Roman" w:cs="Times New Roman"/>
                        <w:sz w:val="18"/>
                        <w:szCs w:val="18"/>
                      </w:rPr>
                      <m:t>XX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2</m:t>
                </m:r>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e>
            </m:d>
          </m:e>
        </m:d>
        <m:r>
          <m:rPr>
            <m:nor/>
          </m:rPr>
          <w:rPr>
            <w:rFonts w:ascii="Times New Roman" w:hAnsi="Times New Roman" w:cs="Times New Roman"/>
            <w:sz w:val="18"/>
            <w:szCs w:val="18"/>
          </w:rPr>
          <m:t>,</m:t>
        </m:r>
      </m:oMath>
      <w:r w:rsidR="00274C31" w:rsidRPr="002C1A46">
        <w:rPr>
          <w:rFonts w:ascii="Times New Roman" w:hAnsi="Times New Roman" w:cs="Times New Roman"/>
          <w:sz w:val="18"/>
          <w:szCs w:val="18"/>
        </w:rPr>
        <w:tab/>
      </w:r>
      <w:r w:rsidR="00274C31" w:rsidRPr="002C1A46">
        <w:rPr>
          <w:rFonts w:ascii="Times New Roman" w:hAnsi="Times New Roman" w:cs="Times New Roman"/>
          <w:sz w:val="18"/>
          <w:szCs w:val="18"/>
        </w:rPr>
        <w:tab/>
        <w:t>(6)</w:t>
      </w:r>
    </w:p>
    <w:p w14:paraId="7F2AC28D" w14:textId="77777777" w:rsidR="00D11802" w:rsidRPr="002C1A46" w:rsidRDefault="00D11802" w:rsidP="008B7D27">
      <w:pPr>
        <w:spacing w:after="0"/>
        <w:jc w:val="both"/>
        <w:rPr>
          <w:rFonts w:ascii="Times New Roman" w:hAnsi="Times New Roman" w:cs="Times New Roman"/>
          <w:sz w:val="18"/>
          <w:szCs w:val="18"/>
        </w:rPr>
      </w:pPr>
    </w:p>
    <w:p w14:paraId="2E32C1FC" w14:textId="6B141A43" w:rsidR="00D11802" w:rsidRPr="002C1A46" w:rsidRDefault="00000000" w:rsidP="008B7D27">
      <w:pPr>
        <w:spacing w:after="0"/>
        <w:jc w:val="both"/>
        <w:rPr>
          <w:rFonts w:ascii="Times New Roman" w:hAnsi="Times New Roman" w:cs="Times New Roman"/>
          <w:sz w:val="18"/>
          <w:szCs w:val="18"/>
        </w:rPr>
      </w:pPr>
      <m:oMath>
        <m:sSub>
          <m:sSubPr>
            <m:ctrlPr>
              <w:rPr>
                <w:rFonts w:ascii="Cambria Math" w:hAnsi="Cambria Math" w:cs="Times New Roman"/>
                <w:sz w:val="18"/>
                <w:szCs w:val="18"/>
              </w:rPr>
            </m:ctrlPr>
          </m:sSubPr>
          <m:e>
            <m:r>
              <m:rPr>
                <m:nor/>
              </m:rPr>
              <w:rPr>
                <w:rFonts w:ascii="Cambria Math" w:hAnsi="Times New Roman" w:cs="Times New Roman"/>
                <w:sz w:val="18"/>
                <w:szCs w:val="18"/>
              </w:rPr>
              <m:t xml:space="preserve"> </m:t>
            </m:r>
            <m:r>
              <m:rPr>
                <m:nor/>
              </m:rPr>
              <w:rPr>
                <w:rFonts w:ascii="Times New Roman" w:hAnsi="Times New Roman" w:cs="Times New Roman"/>
                <w:i/>
                <w:iCs/>
                <w:sz w:val="18"/>
                <w:szCs w:val="18"/>
              </w:rPr>
              <m:t>S</m:t>
            </m:r>
          </m:e>
          <m:sub>
            <m:r>
              <m:rPr>
                <m:nor/>
              </m:rPr>
              <w:rPr>
                <w:rFonts w:ascii="Times New Roman" w:hAnsi="Times New Roman" w:cs="Times New Roman"/>
                <w:sz w:val="18"/>
                <w:szCs w:val="18"/>
              </w:rPr>
              <m:t>NC</m:t>
            </m:r>
          </m:sub>
        </m:sSub>
        <m:r>
          <m:rPr>
            <m:nor/>
          </m:rPr>
          <w:rPr>
            <w:rFonts w:ascii="Times New Roman" w:hAnsi="Times New Roman" w:cs="Times New Roman"/>
            <w:sz w:val="18"/>
            <w:szCs w:val="18"/>
          </w:rPr>
          <m:t>(</m:t>
        </m:r>
        <m:r>
          <m:rPr>
            <m:nor/>
          </m:rPr>
          <w:rPr>
            <w:rFonts w:ascii="Times New Roman" w:hAnsi="Times New Roman" w:cs="Times New Roman"/>
            <w:i/>
            <w:iCs/>
            <w:sz w:val="18"/>
            <w:szCs w:val="18"/>
          </w:rPr>
          <m:t>Q</m:t>
        </m:r>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A</m:t>
                </m:r>
              </m:sub>
            </m:sSub>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AA</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e>
            </m:d>
            <m:r>
              <m:rPr>
                <m:nor/>
              </m:rPr>
              <w:rPr>
                <w:rFonts w:ascii="Cambria Math" w:hAnsi="Times New Roman" w:cs="Times New Roman"/>
                <w:sz w:val="18"/>
                <w:szCs w:val="18"/>
              </w:rPr>
              <m:t xml:space="preserve"> </m:t>
            </m:r>
            <m:r>
              <m:rPr>
                <m:nor/>
              </m:rPr>
              <w:rPr>
                <w:rFonts w:ascii="Times New Roman" w:hAnsi="Times New Roman" w:cs="Times New Roman"/>
                <w:sz w:val="18"/>
                <w:szCs w:val="18"/>
              </w:rPr>
              <m:t xml:space="preserve">–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c</m:t>
                </m:r>
              </m:e>
              <m:sub>
                <m:r>
                  <m:rPr>
                    <m:nor/>
                  </m:rPr>
                  <w:rPr>
                    <w:rFonts w:ascii="Times New Roman" w:hAnsi="Times New Roman" w:cs="Times New Roman"/>
                    <w:sz w:val="18"/>
                    <w:szCs w:val="18"/>
                  </w:rPr>
                  <m:t>X</m:t>
                </m:r>
              </m:sub>
            </m:sSub>
            <m:d>
              <m:dPr>
                <m:begChr m:val="["/>
                <m:endChr m:val="]"/>
                <m:ctrlPr>
                  <w:rPr>
                    <w:rFonts w:ascii="Cambria Math" w:hAnsi="Cambria Math" w:cs="Times New Roman"/>
                    <w:sz w:val="18"/>
                    <w:szCs w:val="18"/>
                  </w:rPr>
                </m:ctrlPr>
              </m:dPr>
              <m:e>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XX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r>
                  <m:rPr>
                    <m:nor/>
                  </m:rPr>
                  <w:rPr>
                    <w:rFonts w:ascii="Times New Roman" w:hAnsi="Times New Roman" w:cs="Times New Roman"/>
                    <w:sz w:val="18"/>
                    <w:szCs w:val="18"/>
                  </w:rPr>
                  <m:t xml:space="preserve"> – </m:t>
                </m:r>
                <m:sSub>
                  <m:sSubPr>
                    <m:ctrlPr>
                      <w:rPr>
                        <w:rFonts w:ascii="Cambria Math" w:hAnsi="Cambria Math" w:cs="Times New Roman"/>
                        <w:sz w:val="18"/>
                        <w:szCs w:val="18"/>
                      </w:rPr>
                    </m:ctrlPr>
                  </m:sSubPr>
                  <m:e>
                    <m:r>
                      <m:rPr>
                        <m:nor/>
                      </m:rPr>
                      <w:rPr>
                        <w:rFonts w:ascii="Times New Roman" w:hAnsi="Times New Roman" w:cs="Times New Roman"/>
                        <w:i/>
                        <w:iCs/>
                        <w:sz w:val="18"/>
                        <w:szCs w:val="18"/>
                      </w:rPr>
                      <m:t>S</m:t>
                    </m:r>
                  </m:e>
                  <m:sub>
                    <m:r>
                      <m:rPr>
                        <m:nor/>
                      </m:rPr>
                      <w:rPr>
                        <w:rFonts w:ascii="Times New Roman" w:hAnsi="Times New Roman" w:cs="Times New Roman"/>
                        <w:sz w:val="18"/>
                        <w:szCs w:val="18"/>
                      </w:rPr>
                      <m:t>AX</m:t>
                    </m:r>
                  </m:sub>
                </m:sSub>
                <m:d>
                  <m:dPr>
                    <m:ctrlPr>
                      <w:rPr>
                        <w:rFonts w:ascii="Cambria Math" w:hAnsi="Cambria Math" w:cs="Times New Roman"/>
                        <w:sz w:val="18"/>
                        <w:szCs w:val="18"/>
                      </w:rPr>
                    </m:ctrlPr>
                  </m:dPr>
                  <m:e>
                    <m:r>
                      <m:rPr>
                        <m:nor/>
                      </m:rPr>
                      <w:rPr>
                        <w:rFonts w:ascii="Times New Roman" w:hAnsi="Times New Roman" w:cs="Times New Roman"/>
                        <w:i/>
                        <w:iCs/>
                        <w:sz w:val="18"/>
                        <w:szCs w:val="18"/>
                      </w:rPr>
                      <m:t>Q</m:t>
                    </m:r>
                  </m:e>
                </m:d>
              </m:e>
            </m:d>
          </m:e>
        </m:d>
        <m:r>
          <m:rPr>
            <m:nor/>
          </m:rPr>
          <w:rPr>
            <w:rFonts w:ascii="Times New Roman" w:hAnsi="Times New Roman" w:cs="Times New Roman"/>
            <w:sz w:val="18"/>
            <w:szCs w:val="18"/>
          </w:rPr>
          <m:t>.</m:t>
        </m:r>
      </m:oMath>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r>
      <w:r w:rsidR="00A90B10" w:rsidRPr="002C1A46">
        <w:rPr>
          <w:rFonts w:ascii="Times New Roman" w:hAnsi="Times New Roman" w:cs="Times New Roman"/>
          <w:sz w:val="18"/>
          <w:szCs w:val="18"/>
        </w:rPr>
        <w:tab/>
        <w:t>(7)</w:t>
      </w:r>
    </w:p>
    <w:p w14:paraId="397DBDBB" w14:textId="77777777" w:rsidR="00C86B1E" w:rsidRPr="002C1A46" w:rsidRDefault="00C86B1E" w:rsidP="008B7D27">
      <w:pPr>
        <w:spacing w:after="0"/>
        <w:jc w:val="both"/>
        <w:rPr>
          <w:rFonts w:ascii="Times New Roman" w:hAnsi="Times New Roman" w:cs="Times New Roman"/>
          <w:i/>
          <w:iCs/>
          <w:sz w:val="18"/>
          <w:szCs w:val="18"/>
        </w:rPr>
      </w:pPr>
    </w:p>
    <w:p w14:paraId="3C34A45F" w14:textId="7B62E547" w:rsidR="00D11802" w:rsidRPr="002C1A46" w:rsidRDefault="00C86B1E" w:rsidP="008B7D27">
      <w:pPr>
        <w:spacing w:after="0"/>
        <w:jc w:val="both"/>
        <w:rPr>
          <w:rFonts w:ascii="Times New Roman" w:hAnsi="Times New Roman" w:cs="Times New Roman"/>
          <w:sz w:val="18"/>
          <w:szCs w:val="18"/>
        </w:rPr>
      </w:pPr>
      <w:r w:rsidRPr="002C1A46">
        <w:rPr>
          <w:rFonts w:ascii="Times New Roman" w:hAnsi="Times New Roman" w:cs="Times New Roman"/>
          <w:i/>
          <w:iCs/>
          <w:sz w:val="18"/>
          <w:szCs w:val="18"/>
        </w:rPr>
        <w:t>S</w:t>
      </w:r>
      <w:r w:rsidRPr="002C1A46">
        <w:rPr>
          <w:rFonts w:ascii="Times New Roman" w:hAnsi="Times New Roman" w:cs="Times New Roman"/>
          <w:sz w:val="18"/>
          <w:szCs w:val="18"/>
          <w:vertAlign w:val="subscript"/>
        </w:rPr>
        <w:t>NN</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describes correlations between atoms irrespective of chemical species, i.e., it provides information on topological order. </w:t>
      </w:r>
      <w:r w:rsidRPr="002C1A46">
        <w:rPr>
          <w:rFonts w:ascii="Times New Roman" w:hAnsi="Times New Roman" w:cs="Times New Roman"/>
          <w:i/>
          <w:iCs/>
          <w:sz w:val="18"/>
          <w:szCs w:val="18"/>
        </w:rPr>
        <w:t>S</w:t>
      </w:r>
      <w:r w:rsidRPr="002C1A46">
        <w:rPr>
          <w:rFonts w:ascii="Times New Roman" w:hAnsi="Times New Roman" w:cs="Times New Roman"/>
          <w:sz w:val="18"/>
          <w:szCs w:val="18"/>
          <w:vertAlign w:val="subscript"/>
        </w:rPr>
        <w:t>CC</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provides information on the chemical ordering of species A (P or Si) and X (O). In contrast, </w:t>
      </w:r>
      <w:r w:rsidRPr="002C1A46">
        <w:rPr>
          <w:rFonts w:ascii="Times New Roman" w:hAnsi="Times New Roman" w:cs="Times New Roman"/>
          <w:i/>
          <w:iCs/>
          <w:sz w:val="18"/>
          <w:szCs w:val="18"/>
        </w:rPr>
        <w:t>S</w:t>
      </w:r>
      <w:r w:rsidRPr="002C1A46">
        <w:rPr>
          <w:rFonts w:ascii="Times New Roman" w:hAnsi="Times New Roman" w:cs="Times New Roman"/>
          <w:sz w:val="18"/>
          <w:szCs w:val="18"/>
          <w:vertAlign w:val="subscript"/>
        </w:rPr>
        <w:t>NC</w:t>
      </w:r>
      <w:r w:rsidRPr="002C1A46">
        <w:rPr>
          <w:rFonts w:ascii="Times New Roman" w:hAnsi="Times New Roman" w:cs="Times New Roman"/>
          <w:sz w:val="18"/>
          <w:szCs w:val="18"/>
        </w:rPr>
        <w:t>(</w:t>
      </w:r>
      <w:r w:rsidRPr="002C1A46">
        <w:rPr>
          <w:rFonts w:ascii="Times New Roman" w:hAnsi="Times New Roman" w:cs="Times New Roman"/>
          <w:i/>
          <w:iCs/>
          <w:sz w:val="18"/>
          <w:szCs w:val="18"/>
        </w:rPr>
        <w:t>Q</w:t>
      </w:r>
      <w:r w:rsidRPr="002C1A46">
        <w:rPr>
          <w:rFonts w:ascii="Times New Roman" w:hAnsi="Times New Roman" w:cs="Times New Roman"/>
          <w:sz w:val="18"/>
          <w:szCs w:val="18"/>
        </w:rPr>
        <w:t xml:space="preserve">) represents the cross-correlation between number-density and concentration </w:t>
      </w:r>
      <w:proofErr w:type="gramStart"/>
      <w:r w:rsidRPr="002C1A46">
        <w:rPr>
          <w:rFonts w:ascii="Times New Roman" w:hAnsi="Times New Roman" w:cs="Times New Roman"/>
          <w:sz w:val="18"/>
          <w:szCs w:val="18"/>
        </w:rPr>
        <w:t>fluctuations, and</w:t>
      </w:r>
      <w:proofErr w:type="gramEnd"/>
      <w:r w:rsidRPr="002C1A46">
        <w:rPr>
          <w:rFonts w:ascii="Times New Roman" w:hAnsi="Times New Roman" w:cs="Times New Roman"/>
          <w:sz w:val="18"/>
          <w:szCs w:val="18"/>
        </w:rPr>
        <w:t xml:space="preserve"> therefore describes the coupling between topological and chemical ordering. </w:t>
      </w:r>
      <w:r w:rsidRPr="002C1A46">
        <w:rPr>
          <w:rFonts w:ascii="Times New Roman" w:hAnsi="Times New Roman" w:cs="Times New Roman"/>
          <w:sz w:val="18"/>
          <w:szCs w:val="18"/>
          <w:lang w:eastAsia="ja-JP"/>
        </w:rPr>
        <w:t>A more detailed description, focused on AX</w:t>
      </w:r>
      <w:r w:rsidRPr="002C1A46">
        <w:rPr>
          <w:rFonts w:ascii="Times New Roman" w:hAnsi="Times New Roman" w:cs="Times New Roman"/>
          <w:sz w:val="18"/>
          <w:szCs w:val="18"/>
          <w:vertAlign w:val="subscript"/>
          <w:lang w:eastAsia="ja-JP"/>
        </w:rPr>
        <w:t>2</w:t>
      </w:r>
      <w:r w:rsidRPr="002C1A46">
        <w:rPr>
          <w:rFonts w:ascii="Times New Roman" w:hAnsi="Times New Roman" w:cs="Times New Roman"/>
          <w:sz w:val="18"/>
          <w:szCs w:val="18"/>
          <w:lang w:eastAsia="ja-JP"/>
        </w:rPr>
        <w:t xml:space="preserve"> systems within the Bhatia–Thornton formalism, is given elsewhere.</w:t>
      </w:r>
      <w:r w:rsidR="000A1C5D" w:rsidRPr="002C1A46">
        <w:rPr>
          <w:rFonts w:ascii="Times New Roman" w:hAnsi="Times New Roman" w:cs="Times New Roman"/>
          <w:sz w:val="18"/>
          <w:szCs w:val="18"/>
          <w:vertAlign w:val="superscript"/>
          <w:lang w:eastAsia="ja-JP"/>
        </w:rPr>
        <w:t>30</w:t>
      </w:r>
      <w:r w:rsidRPr="002C1A46">
        <w:rPr>
          <w:rFonts w:ascii="Times New Roman" w:hAnsi="Times New Roman" w:cs="Times New Roman"/>
          <w:sz w:val="18"/>
          <w:szCs w:val="18"/>
          <w:vertAlign w:val="superscript"/>
          <w:lang w:eastAsia="ja-JP"/>
        </w:rPr>
        <w:t>,</w:t>
      </w:r>
      <w:r w:rsidR="000A1C5D" w:rsidRPr="002C1A46">
        <w:rPr>
          <w:rFonts w:ascii="Times New Roman" w:hAnsi="Times New Roman" w:cs="Times New Roman"/>
          <w:sz w:val="18"/>
          <w:szCs w:val="18"/>
          <w:vertAlign w:val="superscript"/>
          <w:lang w:eastAsia="ja-JP"/>
        </w:rPr>
        <w:t>31</w:t>
      </w:r>
    </w:p>
    <w:p w14:paraId="4222C428" w14:textId="1004E214" w:rsidR="00D244D4" w:rsidRPr="002C1A46" w:rsidRDefault="00D244D4" w:rsidP="00D244D4">
      <w:pPr>
        <w:pStyle w:val="RSCB02ArticleText"/>
        <w:rPr>
          <w:rStyle w:val="06CHeading"/>
          <w:b w:val="0"/>
          <w:smallCaps w:val="0"/>
          <w:lang w:eastAsia="ja-JP"/>
        </w:rPr>
      </w:pPr>
    </w:p>
    <w:p w14:paraId="28236529" w14:textId="6349FD2F" w:rsidR="0041673A" w:rsidRPr="002C1A46" w:rsidRDefault="003D7A50" w:rsidP="0041673A">
      <w:pPr>
        <w:pStyle w:val="RSCB06BHeadingSub-Section"/>
      </w:pPr>
      <w:r w:rsidRPr="002C1A46">
        <w:t xml:space="preserve">2.2 </w:t>
      </w:r>
      <w:r w:rsidR="00AD4C8B" w:rsidRPr="002C1A46">
        <w:t>Structure modelling</w:t>
      </w:r>
    </w:p>
    <w:p w14:paraId="0373FE95" w14:textId="3298590F" w:rsidR="00492CA0" w:rsidRPr="002C1A46" w:rsidRDefault="00D00E8F" w:rsidP="00FE7F7B">
      <w:pPr>
        <w:pStyle w:val="RSCB02ArticleText"/>
        <w:spacing w:line="276" w:lineRule="auto"/>
        <w:rPr>
          <w:rFonts w:ascii="Times New Roman" w:hAnsi="Times New Roman"/>
          <w:vertAlign w:val="superscript"/>
          <w:lang w:eastAsia="ja-JP"/>
        </w:rPr>
      </w:pPr>
      <w:r w:rsidRPr="002C1A46">
        <w:rPr>
          <w:rFonts w:ascii="Times New Roman" w:hAnsi="Times New Roman"/>
          <w:lang w:eastAsia="ja-JP"/>
        </w:rPr>
        <w:t xml:space="preserve">We combined classical MD simulation in the </w:t>
      </w:r>
      <w:r w:rsidRPr="002C1A46">
        <w:rPr>
          <w:rFonts w:ascii="Times New Roman" w:hAnsi="Times New Roman"/>
          <w:i/>
          <w:iCs/>
          <w:lang w:eastAsia="ja-JP"/>
        </w:rPr>
        <w:t>NVT</w:t>
      </w:r>
      <w:r w:rsidRPr="002C1A46">
        <w:rPr>
          <w:rFonts w:ascii="Times New Roman" w:hAnsi="Times New Roman"/>
          <w:lang w:eastAsia="ja-JP"/>
        </w:rPr>
        <w:t xml:space="preserve"> ensemble with RMC modelling for structure modelling. MD simulations were performed using the large-scale atomic/molecular massively parallel simulator (LAMMPS) package</w:t>
      </w:r>
      <w:r w:rsidR="00316779" w:rsidRPr="002C1A46">
        <w:rPr>
          <w:rFonts w:ascii="Times New Roman" w:hAnsi="Times New Roman"/>
          <w:vertAlign w:val="superscript"/>
          <w:lang w:eastAsia="ja-JP"/>
        </w:rPr>
        <w:t>32</w:t>
      </w:r>
      <w:r w:rsidRPr="002C1A46">
        <w:rPr>
          <w:rFonts w:ascii="Times New Roman" w:hAnsi="Times New Roman"/>
          <w:lang w:eastAsia="ja-JP"/>
        </w:rPr>
        <w:t xml:space="preserve"> and RMC modelling was carried out using the RMC++ code.</w:t>
      </w:r>
      <w:r w:rsidR="00316779" w:rsidRPr="002C1A46">
        <w:rPr>
          <w:rFonts w:ascii="Times New Roman" w:hAnsi="Times New Roman"/>
          <w:vertAlign w:val="superscript"/>
          <w:lang w:eastAsia="ja-JP"/>
        </w:rPr>
        <w:t>33</w:t>
      </w:r>
    </w:p>
    <w:p w14:paraId="597BFC12" w14:textId="32019CA9" w:rsidR="00D00E8F" w:rsidRPr="002C1A46" w:rsidRDefault="00D00E8F" w:rsidP="00FE7F7B">
      <w:pPr>
        <w:pStyle w:val="RSCB02ArticleText"/>
        <w:spacing w:line="276" w:lineRule="auto"/>
        <w:ind w:firstLineChars="150" w:firstLine="291"/>
        <w:rPr>
          <w:rFonts w:ascii="Times New Roman" w:hAnsi="Times New Roman"/>
          <w:lang w:eastAsia="ja-JP"/>
        </w:rPr>
      </w:pPr>
      <w:r w:rsidRPr="002C1A46">
        <w:rPr>
          <w:rFonts w:ascii="Times New Roman" w:hAnsi="Times New Roman"/>
          <w:lang w:eastAsia="ja-JP"/>
        </w:rPr>
        <w:t>For P</w:t>
      </w:r>
      <w:r w:rsidRPr="002C1A46">
        <w:rPr>
          <w:rFonts w:ascii="Times New Roman" w:hAnsi="Times New Roman"/>
          <w:vertAlign w:val="subscript"/>
          <w:lang w:eastAsia="ja-JP"/>
        </w:rPr>
        <w:t>2</w:t>
      </w:r>
      <w:r w:rsidRPr="002C1A46">
        <w:rPr>
          <w:rFonts w:ascii="Times New Roman" w:hAnsi="Times New Roman"/>
          <w:lang w:eastAsia="ja-JP"/>
        </w:rPr>
        <w:t>O</w:t>
      </w:r>
      <w:r w:rsidRPr="002C1A46">
        <w:rPr>
          <w:rFonts w:ascii="Times New Roman" w:hAnsi="Times New Roman"/>
          <w:vertAlign w:val="subscript"/>
          <w:lang w:eastAsia="ja-JP"/>
        </w:rPr>
        <w:t>5</w:t>
      </w:r>
      <w:r w:rsidRPr="002C1A46">
        <w:rPr>
          <w:rFonts w:ascii="Times New Roman" w:hAnsi="Times New Roman"/>
          <w:lang w:eastAsia="ja-JP"/>
        </w:rPr>
        <w:t xml:space="preserve"> glass, the initial configuration, which contained 10500 particles (P: 3000, O: 7500), was generated using hard-sphere Monte Carlo (HSMC)</w:t>
      </w:r>
      <w:r w:rsidRPr="002C1A46">
        <w:rPr>
          <w:rFonts w:ascii="Times New Roman" w:hAnsi="Times New Roman"/>
          <w:vertAlign w:val="superscript"/>
          <w:lang w:eastAsia="ja-JP"/>
        </w:rPr>
        <w:t>25</w:t>
      </w:r>
      <w:r w:rsidRPr="002C1A46">
        <w:rPr>
          <w:rFonts w:ascii="Times New Roman" w:hAnsi="Times New Roman"/>
          <w:lang w:eastAsia="ja-JP"/>
        </w:rPr>
        <w:t xml:space="preserve"> simulations. The atomic number density is 0.07083 Å</w:t>
      </w:r>
      <w:r w:rsidRPr="002C1A46">
        <w:rPr>
          <w:rFonts w:ascii="Times New Roman" w:hAnsi="Times New Roman"/>
          <w:vertAlign w:val="superscript"/>
          <w:lang w:eastAsia="ja-JP"/>
        </w:rPr>
        <w:t>–3</w:t>
      </w:r>
      <w:r w:rsidRPr="002C1A46">
        <w:rPr>
          <w:rFonts w:ascii="Times New Roman" w:hAnsi="Times New Roman"/>
          <w:lang w:eastAsia="ja-JP"/>
        </w:rPr>
        <w:t>; this value corresponds to a mass density of 2.385 g cm</w:t>
      </w:r>
      <w:r w:rsidRPr="002C1A46">
        <w:rPr>
          <w:rFonts w:ascii="Times New Roman" w:hAnsi="Times New Roman"/>
          <w:vertAlign w:val="superscript"/>
          <w:lang w:eastAsia="ja-JP"/>
        </w:rPr>
        <w:t>–3</w:t>
      </w:r>
      <w:r w:rsidRPr="002C1A46">
        <w:rPr>
          <w:rFonts w:ascii="Times New Roman" w:hAnsi="Times New Roman"/>
          <w:lang w:eastAsia="ja-JP"/>
        </w:rPr>
        <w:t>.</w:t>
      </w:r>
      <w:r w:rsidRPr="002C1A46">
        <w:rPr>
          <w:rFonts w:ascii="Times New Roman" w:hAnsi="Times New Roman"/>
          <w:vertAlign w:val="superscript"/>
          <w:lang w:eastAsia="ja-JP"/>
        </w:rPr>
        <w:t>15</w:t>
      </w:r>
      <w:r w:rsidRPr="002C1A46">
        <w:rPr>
          <w:rFonts w:ascii="Times New Roman" w:hAnsi="Times New Roman"/>
          <w:lang w:eastAsia="ja-JP"/>
        </w:rPr>
        <w:t xml:space="preserve"> The </w:t>
      </w:r>
      <w:r w:rsidRPr="002C1A46">
        <w:rPr>
          <w:rFonts w:ascii="Times New Roman" w:hAnsi="Times New Roman"/>
          <w:i/>
          <w:iCs/>
          <w:lang w:eastAsia="ja-JP"/>
        </w:rPr>
        <w:t>r</w:t>
      </w:r>
      <w:r w:rsidRPr="002C1A46">
        <w:rPr>
          <w:rFonts w:ascii="Times New Roman" w:hAnsi="Times New Roman"/>
          <w:lang w:eastAsia="ja-JP"/>
        </w:rPr>
        <w:t xml:space="preserve">-spacing for the calculations of the partial </w:t>
      </w:r>
      <w:r w:rsidRPr="002C1A46">
        <w:rPr>
          <w:rFonts w:ascii="Times New Roman" w:hAnsi="Times New Roman"/>
          <w:lang w:eastAsia="ja-JP"/>
        </w:rPr>
        <w:lastRenderedPageBreak/>
        <w:t>pair-distribution functions was set to 0.05 Å. Two types of constraints were applied: (</w:t>
      </w:r>
      <w:proofErr w:type="spellStart"/>
      <w:r w:rsidRPr="002C1A46">
        <w:rPr>
          <w:rFonts w:ascii="Times New Roman" w:hAnsi="Times New Roman"/>
          <w:lang w:eastAsia="ja-JP"/>
        </w:rPr>
        <w:t>i</w:t>
      </w:r>
      <w:proofErr w:type="spellEnd"/>
      <w:r w:rsidRPr="002C1A46">
        <w:rPr>
          <w:rFonts w:ascii="Times New Roman" w:hAnsi="Times New Roman"/>
          <w:lang w:eastAsia="ja-JP"/>
        </w:rPr>
        <w:t>) the closest atom–atom approach to avoid unphysical spikes in the partial pair-distribution functions, and (ii) a P–O connectivity constraint requiring each phosphorus atom to be coordinated by four oxygen atoms within a cutoff distance of 1.75 Å that corresponds to the first minimum of the P–O peak in the pair distribution function of P</w:t>
      </w:r>
      <w:r w:rsidRPr="002C1A46">
        <w:rPr>
          <w:rFonts w:ascii="Times New Roman" w:hAnsi="Times New Roman"/>
          <w:vertAlign w:val="subscript"/>
          <w:lang w:eastAsia="ja-JP"/>
        </w:rPr>
        <w:t>2</w:t>
      </w:r>
      <w:r w:rsidRPr="002C1A46">
        <w:rPr>
          <w:rFonts w:ascii="Times New Roman" w:hAnsi="Times New Roman"/>
          <w:lang w:eastAsia="ja-JP"/>
        </w:rPr>
        <w:t>O</w:t>
      </w:r>
      <w:r w:rsidRPr="002C1A46">
        <w:rPr>
          <w:rFonts w:ascii="Times New Roman" w:hAnsi="Times New Roman"/>
          <w:vertAlign w:val="subscript"/>
          <w:lang w:eastAsia="ja-JP"/>
        </w:rPr>
        <w:t>5</w:t>
      </w:r>
      <w:r w:rsidRPr="002C1A46">
        <w:rPr>
          <w:rFonts w:ascii="Times New Roman" w:hAnsi="Times New Roman"/>
          <w:lang w:eastAsia="ja-JP"/>
        </w:rPr>
        <w:t xml:space="preserve"> glass. In addition, fixed-neighbour constraints</w:t>
      </w:r>
      <w:r w:rsidR="00393956" w:rsidRPr="002C1A46">
        <w:rPr>
          <w:rFonts w:ascii="Times New Roman" w:hAnsi="Times New Roman"/>
          <w:vertAlign w:val="superscript"/>
          <w:lang w:eastAsia="ja-JP"/>
        </w:rPr>
        <w:t>34</w:t>
      </w:r>
      <w:r w:rsidRPr="002C1A46">
        <w:rPr>
          <w:rFonts w:ascii="Times New Roman" w:hAnsi="Times New Roman"/>
          <w:lang w:eastAsia="ja-JP"/>
        </w:rPr>
        <w:t xml:space="preserve"> were applied for P–O distances (1.55–1.75 Å) and P=O distances (1.40–1.55 Å) to reproduce the Q</w:t>
      </w:r>
      <w:r w:rsidRPr="002C1A46">
        <w:rPr>
          <w:rFonts w:ascii="Times New Roman" w:hAnsi="Times New Roman"/>
          <w:vertAlign w:val="superscript"/>
          <w:lang w:eastAsia="ja-JP"/>
        </w:rPr>
        <w:t>3</w:t>
      </w:r>
      <w:r w:rsidRPr="002C1A46">
        <w:rPr>
          <w:rFonts w:ascii="Times New Roman" w:hAnsi="Times New Roman"/>
          <w:lang w:eastAsia="ja-JP"/>
        </w:rPr>
        <w:t xml:space="preserve"> network structure. The atomic configuration created by HSMC simulation was subsequently refined by RMC modelling to reproduce the neutron </w:t>
      </w:r>
      <w:r w:rsidRPr="002C1A46">
        <w:rPr>
          <w:rFonts w:ascii="Times New Roman" w:hAnsi="Times New Roman"/>
          <w:i/>
          <w:iCs/>
          <w:lang w:eastAsia="ja-JP"/>
        </w:rPr>
        <w:t>S</w:t>
      </w:r>
      <w:r w:rsidRPr="002C1A46">
        <w:rPr>
          <w:rFonts w:ascii="Times New Roman" w:hAnsi="Times New Roman"/>
          <w:lang w:eastAsia="ja-JP"/>
        </w:rPr>
        <w:t>(</w:t>
      </w:r>
      <w:r w:rsidRPr="002C1A46">
        <w:rPr>
          <w:rFonts w:ascii="Times New Roman" w:hAnsi="Times New Roman"/>
          <w:i/>
          <w:iCs/>
          <w:lang w:eastAsia="ja-JP"/>
        </w:rPr>
        <w:t>Q</w:t>
      </w:r>
      <w:r w:rsidRPr="002C1A46">
        <w:rPr>
          <w:rFonts w:ascii="Times New Roman" w:hAnsi="Times New Roman"/>
          <w:lang w:eastAsia="ja-JP"/>
        </w:rPr>
        <w:t>)</w:t>
      </w:r>
      <w:r w:rsidRPr="002C1A46">
        <w:rPr>
          <w:rFonts w:ascii="Times New Roman" w:hAnsi="Times New Roman"/>
          <w:vertAlign w:val="superscript"/>
          <w:lang w:eastAsia="ja-JP"/>
        </w:rPr>
        <w:t>14</w:t>
      </w:r>
      <w:r w:rsidRPr="002C1A46">
        <w:rPr>
          <w:rFonts w:ascii="Times New Roman" w:hAnsi="Times New Roman"/>
          <w:lang w:eastAsia="ja-JP"/>
        </w:rPr>
        <w:t xml:space="preserve"> and X-ray </w:t>
      </w:r>
      <w:r w:rsidRPr="002C1A46">
        <w:rPr>
          <w:rFonts w:ascii="Times New Roman" w:hAnsi="Times New Roman"/>
          <w:i/>
          <w:iCs/>
          <w:lang w:eastAsia="ja-JP"/>
        </w:rPr>
        <w:t>S</w:t>
      </w:r>
      <w:r w:rsidRPr="002C1A46">
        <w:rPr>
          <w:rFonts w:ascii="Times New Roman" w:hAnsi="Times New Roman"/>
          <w:lang w:eastAsia="ja-JP"/>
        </w:rPr>
        <w:t>(</w:t>
      </w:r>
      <w:r w:rsidRPr="002C1A46">
        <w:rPr>
          <w:rFonts w:ascii="Times New Roman" w:hAnsi="Times New Roman"/>
          <w:i/>
          <w:iCs/>
          <w:lang w:eastAsia="ja-JP"/>
        </w:rPr>
        <w:t>Q</w:t>
      </w:r>
      <w:r w:rsidRPr="002C1A46">
        <w:rPr>
          <w:rFonts w:ascii="Times New Roman" w:hAnsi="Times New Roman"/>
          <w:lang w:eastAsia="ja-JP"/>
        </w:rPr>
        <w:t>)</w:t>
      </w:r>
      <w:r w:rsidR="005B35BC" w:rsidRPr="002C1A46">
        <w:rPr>
          <w:rFonts w:ascii="Times New Roman" w:hAnsi="Times New Roman"/>
          <w:lang w:eastAsia="ja-JP"/>
        </w:rPr>
        <w:t>.</w:t>
      </w:r>
      <w:r w:rsidRPr="002C1A46">
        <w:rPr>
          <w:rFonts w:ascii="Times New Roman" w:hAnsi="Times New Roman"/>
          <w:vertAlign w:val="superscript"/>
          <w:lang w:eastAsia="ja-JP"/>
        </w:rPr>
        <w:t>16</w:t>
      </w:r>
      <w:r w:rsidRPr="002C1A46">
        <w:rPr>
          <w:rFonts w:ascii="Times New Roman" w:hAnsi="Times New Roman"/>
          <w:lang w:eastAsia="ja-JP"/>
        </w:rPr>
        <w:t xml:space="preserve"> Following the RMC modelling, the atomic configuration was optimised by </w:t>
      </w:r>
      <w:r w:rsidR="00393956" w:rsidRPr="002C1A46">
        <w:rPr>
          <w:rFonts w:ascii="Times New Roman" w:hAnsi="Times New Roman"/>
          <w:lang w:eastAsia="ja-JP"/>
        </w:rPr>
        <w:t xml:space="preserve">energy minimisation </w:t>
      </w:r>
      <w:r w:rsidRPr="002C1A46">
        <w:rPr>
          <w:rFonts w:ascii="Times New Roman" w:hAnsi="Times New Roman"/>
          <w:lang w:eastAsia="ja-JP"/>
        </w:rPr>
        <w:t>using a Buckingham potential</w:t>
      </w:r>
      <w:r w:rsidR="00393956" w:rsidRPr="002C1A46">
        <w:rPr>
          <w:rFonts w:ascii="Times New Roman" w:hAnsi="Times New Roman"/>
          <w:lang w:eastAsia="ja-JP"/>
        </w:rPr>
        <w:t xml:space="preserve"> embedded in the MD simulator</w:t>
      </w:r>
      <w:r w:rsidRPr="002C1A46">
        <w:rPr>
          <w:rFonts w:ascii="Times New Roman" w:hAnsi="Times New Roman"/>
          <w:lang w:eastAsia="ja-JP"/>
        </w:rPr>
        <w:t>:</w:t>
      </w:r>
    </w:p>
    <w:p w14:paraId="61DCC1F4" w14:textId="3A39E7D8" w:rsidR="00972157" w:rsidRPr="002C1A46" w:rsidRDefault="00972157" w:rsidP="00972157">
      <w:pPr>
        <w:pStyle w:val="RSCB02ArticleText"/>
        <w:spacing w:line="276" w:lineRule="auto"/>
        <w:rPr>
          <w:rFonts w:ascii="Times New Roman" w:hAnsi="Times New Roman"/>
          <w:lang w:eastAsia="ja-JP"/>
        </w:rPr>
      </w:pPr>
    </w:p>
    <w:p w14:paraId="4B53B7EC" w14:textId="6071087C" w:rsidR="00972157" w:rsidRPr="002C1A46" w:rsidRDefault="00972157" w:rsidP="00972157">
      <w:pPr>
        <w:pStyle w:val="RSCB02ArticleText"/>
        <w:spacing w:line="276" w:lineRule="auto"/>
        <w:rPr>
          <w:rFonts w:ascii="Times New Roman" w:hAnsi="Times New Roman"/>
          <w:iCs/>
          <w:lang w:eastAsia="ja-JP"/>
        </w:rPr>
      </w:pPr>
      <m:oMath>
        <m:r>
          <m:rPr>
            <m:nor/>
          </m:rPr>
          <w:rPr>
            <w:rFonts w:ascii="Cambria Math" w:hAnsi="Times New Roman"/>
            <w:lang w:eastAsia="ja-JP"/>
          </w:rPr>
          <m:t xml:space="preserve"> </m:t>
        </m:r>
        <m:r>
          <m:rPr>
            <m:nor/>
          </m:rPr>
          <w:rPr>
            <w:rFonts w:ascii="Times New Roman" w:hAnsi="Times New Roman"/>
            <w:i/>
            <w:iCs/>
            <w:lang w:eastAsia="ja-JP"/>
          </w:rPr>
          <m:t>V</m:t>
        </m:r>
        <m:d>
          <m:dPr>
            <m:ctrlPr>
              <w:rPr>
                <w:rFonts w:ascii="Cambria Math" w:hAnsi="Cambria Math"/>
                <w:lang w:eastAsia="ja-JP"/>
              </w:rPr>
            </m:ctrlPr>
          </m:dPr>
          <m:e>
            <m:sSub>
              <m:sSubPr>
                <m:ctrlPr>
                  <w:rPr>
                    <w:rFonts w:ascii="Cambria Math" w:hAnsi="Cambria Math"/>
                    <w:i/>
                    <w:iCs/>
                    <w:lang w:eastAsia="ja-JP"/>
                  </w:rPr>
                </m:ctrlPr>
              </m:sSubPr>
              <m:e>
                <m:r>
                  <m:rPr>
                    <m:nor/>
                  </m:rPr>
                  <w:rPr>
                    <w:rFonts w:ascii="Times New Roman" w:hAnsi="Times New Roman"/>
                    <w:i/>
                    <w:iCs/>
                    <w:lang w:eastAsia="ja-JP"/>
                  </w:rPr>
                  <m:t>r</m:t>
                </m:r>
              </m:e>
              <m:sub>
                <m:r>
                  <m:rPr>
                    <m:nor/>
                  </m:rPr>
                  <w:rPr>
                    <w:rFonts w:ascii="Times New Roman" w:hAnsi="Times New Roman"/>
                    <w:i/>
                    <w:iCs/>
                    <w:lang w:eastAsia="ja-JP"/>
                  </w:rPr>
                  <m:t>ij</m:t>
                </m:r>
              </m:sub>
            </m:sSub>
          </m:e>
        </m:d>
        <m:r>
          <m:rPr>
            <m:nor/>
          </m:rPr>
          <w:rPr>
            <w:rFonts w:ascii="Cambria Math" w:hAnsi="Times New Roman"/>
            <w:lang w:eastAsia="ja-JP"/>
          </w:rPr>
          <m:t xml:space="preserve"> </m:t>
        </m:r>
        <m:r>
          <m:rPr>
            <m:nor/>
          </m:rPr>
          <w:rPr>
            <w:rFonts w:ascii="Times New Roman" w:hAnsi="Times New Roman"/>
            <w:lang w:eastAsia="ja-JP"/>
          </w:rPr>
          <m:t>=</m:t>
        </m:r>
        <m:r>
          <m:rPr>
            <m:nor/>
          </m:rPr>
          <w:rPr>
            <w:rFonts w:ascii="Cambria Math" w:hAnsi="Times New Roman"/>
            <w:lang w:eastAsia="ja-JP"/>
          </w:rPr>
          <m:t xml:space="preserve"> </m:t>
        </m:r>
        <m:f>
          <m:fPr>
            <m:ctrlPr>
              <w:rPr>
                <w:rFonts w:ascii="Cambria Math" w:hAnsi="Cambria Math"/>
                <w:lang w:eastAsia="ja-JP"/>
              </w:rPr>
            </m:ctrlPr>
          </m:fPr>
          <m:num>
            <m:sSub>
              <m:sSubPr>
                <m:ctrlPr>
                  <w:rPr>
                    <w:rFonts w:ascii="Cambria Math" w:hAnsi="Cambria Math"/>
                    <w:i/>
                    <w:iCs/>
                    <w:lang w:eastAsia="ja-JP"/>
                  </w:rPr>
                </m:ctrlPr>
              </m:sSubPr>
              <m:e>
                <m:r>
                  <m:rPr>
                    <m:nor/>
                  </m:rPr>
                  <w:rPr>
                    <w:rFonts w:ascii="Times New Roman" w:hAnsi="Times New Roman"/>
                    <w:i/>
                    <w:iCs/>
                    <w:lang w:eastAsia="ja-JP"/>
                  </w:rPr>
                  <m:t>q</m:t>
                </m:r>
              </m:e>
              <m:sub>
                <m:r>
                  <m:rPr>
                    <m:nor/>
                  </m:rPr>
                  <w:rPr>
                    <w:rFonts w:ascii="Times New Roman" w:hAnsi="Times New Roman"/>
                    <w:i/>
                    <w:iCs/>
                    <w:lang w:eastAsia="ja-JP"/>
                  </w:rPr>
                  <m:t>i</m:t>
                </m:r>
              </m:sub>
            </m:sSub>
            <m:sSub>
              <m:sSubPr>
                <m:ctrlPr>
                  <w:rPr>
                    <w:rFonts w:ascii="Cambria Math" w:hAnsi="Cambria Math"/>
                    <w:i/>
                    <w:iCs/>
                    <w:lang w:eastAsia="ja-JP"/>
                  </w:rPr>
                </m:ctrlPr>
              </m:sSubPr>
              <m:e>
                <m:r>
                  <m:rPr>
                    <m:nor/>
                  </m:rPr>
                  <w:rPr>
                    <w:rFonts w:ascii="Times New Roman" w:hAnsi="Times New Roman"/>
                    <w:i/>
                    <w:iCs/>
                    <w:lang w:eastAsia="ja-JP"/>
                  </w:rPr>
                  <m:t>q</m:t>
                </m:r>
              </m:e>
              <m:sub>
                <m:r>
                  <m:rPr>
                    <m:nor/>
                  </m:rPr>
                  <w:rPr>
                    <w:rFonts w:ascii="Times New Roman" w:hAnsi="Times New Roman"/>
                    <w:i/>
                    <w:iCs/>
                    <w:lang w:eastAsia="ja-JP"/>
                  </w:rPr>
                  <m:t>j</m:t>
                </m:r>
              </m:sub>
            </m:sSub>
          </m:num>
          <m:den>
            <m:r>
              <m:rPr>
                <m:nor/>
              </m:rPr>
              <w:rPr>
                <w:rFonts w:ascii="Times New Roman" w:hAnsi="Times New Roman"/>
                <w:lang w:eastAsia="ja-JP"/>
              </w:rPr>
              <m:t>4π</m:t>
            </m:r>
            <m:sSub>
              <m:sSubPr>
                <m:ctrlPr>
                  <w:rPr>
                    <w:rFonts w:ascii="Cambria Math" w:hAnsi="Cambria Math"/>
                    <w:lang w:eastAsia="ja-JP"/>
                  </w:rPr>
                </m:ctrlPr>
              </m:sSubPr>
              <m:e>
                <m:r>
                  <m:rPr>
                    <m:nor/>
                  </m:rPr>
                  <w:rPr>
                    <w:rFonts w:ascii="Times New Roman" w:hAnsi="Times New Roman"/>
                    <w:i/>
                    <w:iCs/>
                    <w:lang w:eastAsia="ja-JP"/>
                  </w:rPr>
                  <m:t>ε</m:t>
                </m:r>
              </m:e>
              <m:sub>
                <m:r>
                  <m:rPr>
                    <m:nor/>
                  </m:rPr>
                  <w:rPr>
                    <w:rFonts w:ascii="Times New Roman" w:hAnsi="Times New Roman"/>
                    <w:lang w:eastAsia="ja-JP"/>
                  </w:rPr>
                  <m:t>0</m:t>
                </m:r>
              </m:sub>
            </m:sSub>
            <m:sSub>
              <m:sSubPr>
                <m:ctrlPr>
                  <w:rPr>
                    <w:rFonts w:ascii="Cambria Math" w:hAnsi="Cambria Math"/>
                    <w:i/>
                    <w:iCs/>
                    <w:lang w:eastAsia="ja-JP"/>
                  </w:rPr>
                </m:ctrlPr>
              </m:sSubPr>
              <m:e>
                <m:r>
                  <m:rPr>
                    <m:nor/>
                  </m:rPr>
                  <w:rPr>
                    <w:rFonts w:ascii="Times New Roman" w:hAnsi="Times New Roman"/>
                    <w:i/>
                    <w:iCs/>
                    <w:lang w:eastAsia="ja-JP"/>
                  </w:rPr>
                  <m:t>r</m:t>
                </m:r>
              </m:e>
              <m:sub>
                <m:r>
                  <m:rPr>
                    <m:nor/>
                  </m:rPr>
                  <w:rPr>
                    <w:rFonts w:ascii="Times New Roman" w:hAnsi="Times New Roman"/>
                    <w:i/>
                    <w:iCs/>
                    <w:lang w:eastAsia="ja-JP"/>
                  </w:rPr>
                  <m:t>ij</m:t>
                </m:r>
              </m:sub>
            </m:sSub>
          </m:den>
        </m:f>
        <m:r>
          <m:rPr>
            <m:nor/>
          </m:rPr>
          <w:rPr>
            <w:rFonts w:ascii="Cambria Math" w:hAnsi="Times New Roman"/>
            <w:lang w:eastAsia="ja-JP"/>
          </w:rPr>
          <m:t xml:space="preserve"> </m:t>
        </m:r>
        <m:r>
          <m:rPr>
            <m:nor/>
          </m:rPr>
          <w:rPr>
            <w:rFonts w:ascii="Times New Roman" w:hAnsi="Times New Roman"/>
            <w:lang w:eastAsia="ja-JP"/>
          </w:rPr>
          <m:t>+</m:t>
        </m:r>
        <m:r>
          <m:rPr>
            <m:nor/>
          </m:rPr>
          <w:rPr>
            <w:rFonts w:ascii="Cambria Math" w:hAnsi="Times New Roman"/>
            <w:lang w:eastAsia="ja-JP"/>
          </w:rPr>
          <m:t xml:space="preserve"> </m:t>
        </m:r>
        <m:sSub>
          <m:sSubPr>
            <m:ctrlPr>
              <w:rPr>
                <w:rFonts w:ascii="Cambria Math" w:hAnsi="Cambria Math"/>
                <w:i/>
                <w:iCs/>
                <w:lang w:eastAsia="ja-JP"/>
              </w:rPr>
            </m:ctrlPr>
          </m:sSubPr>
          <m:e>
            <m:r>
              <m:rPr>
                <m:nor/>
              </m:rPr>
              <w:rPr>
                <w:rFonts w:ascii="Times New Roman" w:hAnsi="Times New Roman"/>
                <w:i/>
                <w:iCs/>
                <w:lang w:eastAsia="ja-JP"/>
              </w:rPr>
              <m:t>A</m:t>
            </m:r>
          </m:e>
          <m:sub>
            <m:r>
              <m:rPr>
                <m:nor/>
              </m:rPr>
              <w:rPr>
                <w:rFonts w:ascii="Times New Roman" w:hAnsi="Times New Roman"/>
                <w:i/>
                <w:iCs/>
                <w:lang w:eastAsia="ja-JP"/>
              </w:rPr>
              <m:t>ij</m:t>
            </m:r>
          </m:sub>
        </m:sSub>
        <m:r>
          <m:rPr>
            <m:nor/>
          </m:rPr>
          <w:rPr>
            <w:rFonts w:ascii="Times New Roman" w:hAnsi="Times New Roman"/>
            <w:lang w:eastAsia="ja-JP"/>
          </w:rPr>
          <m:t>exp</m:t>
        </m:r>
        <m:d>
          <m:dPr>
            <m:ctrlPr>
              <w:rPr>
                <w:rFonts w:ascii="Cambria Math" w:hAnsi="Cambria Math"/>
                <w:lang w:eastAsia="ja-JP"/>
              </w:rPr>
            </m:ctrlPr>
          </m:dPr>
          <m:e>
            <m:f>
              <m:fPr>
                <m:ctrlPr>
                  <w:rPr>
                    <w:rFonts w:ascii="Cambria Math" w:hAnsi="Cambria Math"/>
                    <w:lang w:eastAsia="ja-JP"/>
                  </w:rPr>
                </m:ctrlPr>
              </m:fPr>
              <m:num>
                <m:r>
                  <m:rPr>
                    <m:nor/>
                  </m:rPr>
                  <w:rPr>
                    <w:rFonts w:ascii="Times New Roman" w:hAnsi="Times New Roman"/>
                    <w:lang w:eastAsia="ja-JP"/>
                  </w:rPr>
                  <m:t>–</m:t>
                </m:r>
                <m:sSub>
                  <m:sSubPr>
                    <m:ctrlPr>
                      <w:rPr>
                        <w:rFonts w:ascii="Cambria Math" w:hAnsi="Cambria Math"/>
                        <w:i/>
                        <w:iCs/>
                        <w:lang w:eastAsia="ja-JP"/>
                      </w:rPr>
                    </m:ctrlPr>
                  </m:sSubPr>
                  <m:e>
                    <m:r>
                      <m:rPr>
                        <m:nor/>
                      </m:rPr>
                      <w:rPr>
                        <w:rFonts w:ascii="Times New Roman" w:hAnsi="Times New Roman"/>
                        <w:i/>
                        <w:iCs/>
                        <w:lang w:eastAsia="ja-JP"/>
                      </w:rPr>
                      <m:t>r</m:t>
                    </m:r>
                  </m:e>
                  <m:sub>
                    <m:r>
                      <m:rPr>
                        <m:nor/>
                      </m:rPr>
                      <w:rPr>
                        <w:rFonts w:ascii="Times New Roman" w:hAnsi="Times New Roman"/>
                        <w:i/>
                        <w:iCs/>
                        <w:lang w:eastAsia="ja-JP"/>
                      </w:rPr>
                      <m:t>ij</m:t>
                    </m:r>
                  </m:sub>
                </m:sSub>
              </m:num>
              <m:den>
                <m:sSub>
                  <m:sSubPr>
                    <m:ctrlPr>
                      <w:rPr>
                        <w:rFonts w:ascii="Cambria Math" w:hAnsi="Cambria Math"/>
                        <w:i/>
                        <w:iCs/>
                        <w:lang w:eastAsia="ja-JP"/>
                      </w:rPr>
                    </m:ctrlPr>
                  </m:sSubPr>
                  <m:e>
                    <m:r>
                      <m:rPr>
                        <m:nor/>
                      </m:rPr>
                      <w:rPr>
                        <w:rFonts w:ascii="Times New Roman" w:hAnsi="Times New Roman"/>
                        <w:i/>
                        <w:iCs/>
                        <w:lang w:eastAsia="ja-JP"/>
                      </w:rPr>
                      <m:t>ρ</m:t>
                    </m:r>
                  </m:e>
                  <m:sub>
                    <m:r>
                      <m:rPr>
                        <m:nor/>
                      </m:rPr>
                      <w:rPr>
                        <w:rFonts w:ascii="Times New Roman" w:hAnsi="Times New Roman"/>
                        <w:i/>
                        <w:iCs/>
                        <w:lang w:eastAsia="ja-JP"/>
                      </w:rPr>
                      <m:t>ij</m:t>
                    </m:r>
                  </m:sub>
                </m:sSub>
              </m:den>
            </m:f>
          </m:e>
        </m:d>
        <m:r>
          <m:rPr>
            <m:nor/>
          </m:rPr>
          <w:rPr>
            <w:rFonts w:ascii="Cambria Math" w:hAnsi="Times New Roman"/>
            <w:lang w:eastAsia="ja-JP"/>
          </w:rPr>
          <m:t xml:space="preserve"> </m:t>
        </m:r>
        <m:r>
          <m:rPr>
            <m:nor/>
          </m:rPr>
          <w:rPr>
            <w:rFonts w:ascii="Times New Roman" w:hAnsi="Times New Roman"/>
            <w:lang w:eastAsia="ja-JP"/>
          </w:rPr>
          <m:t>–</m:t>
        </m:r>
        <m:r>
          <m:rPr>
            <m:nor/>
          </m:rPr>
          <w:rPr>
            <w:rFonts w:ascii="Cambria Math" w:hAnsi="Times New Roman"/>
            <w:lang w:eastAsia="ja-JP"/>
          </w:rPr>
          <m:t xml:space="preserve"> </m:t>
        </m:r>
        <m:f>
          <m:fPr>
            <m:ctrlPr>
              <w:rPr>
                <w:rFonts w:ascii="Cambria Math" w:hAnsi="Cambria Math"/>
                <w:lang w:eastAsia="ja-JP"/>
              </w:rPr>
            </m:ctrlPr>
          </m:fPr>
          <m:num>
            <m:sSub>
              <m:sSubPr>
                <m:ctrlPr>
                  <w:rPr>
                    <w:rFonts w:ascii="Cambria Math" w:hAnsi="Cambria Math"/>
                    <w:i/>
                    <w:iCs/>
                    <w:lang w:eastAsia="ja-JP"/>
                  </w:rPr>
                </m:ctrlPr>
              </m:sSubPr>
              <m:e>
                <m:r>
                  <m:rPr>
                    <m:nor/>
                  </m:rPr>
                  <w:rPr>
                    <w:rFonts w:ascii="Times New Roman" w:hAnsi="Times New Roman"/>
                    <w:i/>
                    <w:iCs/>
                    <w:lang w:eastAsia="ja-JP"/>
                  </w:rPr>
                  <m:t>C</m:t>
                </m:r>
              </m:e>
              <m:sub>
                <m:r>
                  <m:rPr>
                    <m:nor/>
                  </m:rPr>
                  <w:rPr>
                    <w:rFonts w:ascii="Times New Roman" w:hAnsi="Times New Roman"/>
                    <w:i/>
                    <w:iCs/>
                    <w:lang w:eastAsia="ja-JP"/>
                  </w:rPr>
                  <m:t>ij</m:t>
                </m:r>
              </m:sub>
            </m:sSub>
          </m:num>
          <m:den>
            <m:sSubSup>
              <m:sSubSupPr>
                <m:ctrlPr>
                  <w:rPr>
                    <w:rFonts w:ascii="Cambria Math" w:hAnsi="Cambria Math"/>
                    <w:lang w:eastAsia="ja-JP"/>
                  </w:rPr>
                </m:ctrlPr>
              </m:sSubSupPr>
              <m:e>
                <m:r>
                  <m:rPr>
                    <m:nor/>
                  </m:rPr>
                  <w:rPr>
                    <w:rFonts w:ascii="Times New Roman" w:hAnsi="Times New Roman"/>
                    <w:i/>
                    <w:iCs/>
                    <w:lang w:eastAsia="ja-JP"/>
                  </w:rPr>
                  <m:t>r</m:t>
                </m:r>
              </m:e>
              <m:sub>
                <m:r>
                  <m:rPr>
                    <m:nor/>
                  </m:rPr>
                  <w:rPr>
                    <w:rFonts w:ascii="Times New Roman" w:hAnsi="Times New Roman"/>
                    <w:i/>
                    <w:iCs/>
                    <w:lang w:eastAsia="ja-JP"/>
                  </w:rPr>
                  <m:t>ij</m:t>
                </m:r>
              </m:sub>
              <m:sup>
                <m:r>
                  <m:rPr>
                    <m:nor/>
                  </m:rPr>
                  <w:rPr>
                    <w:rFonts w:ascii="Times New Roman" w:hAnsi="Times New Roman"/>
                    <w:lang w:eastAsia="ja-JP"/>
                  </w:rPr>
                  <m:t>6</m:t>
                </m:r>
              </m:sup>
            </m:sSubSup>
          </m:den>
        </m:f>
      </m:oMath>
      <w:r w:rsidRPr="002C1A46">
        <w:rPr>
          <w:rFonts w:ascii="Times New Roman" w:hAnsi="Times New Roman"/>
          <w:i/>
          <w:lang w:eastAsia="ja-JP"/>
        </w:rPr>
        <w:t>,</w:t>
      </w:r>
      <w:r w:rsidRPr="002C1A46">
        <w:rPr>
          <w:rFonts w:ascii="Times New Roman" w:hAnsi="Times New Roman"/>
          <w:i/>
          <w:lang w:eastAsia="ja-JP"/>
        </w:rPr>
        <w:tab/>
      </w:r>
      <w:r w:rsidRPr="002C1A46">
        <w:rPr>
          <w:rFonts w:ascii="Times New Roman" w:hAnsi="Times New Roman"/>
          <w:i/>
          <w:lang w:eastAsia="ja-JP"/>
        </w:rPr>
        <w:tab/>
      </w:r>
      <w:r w:rsidRPr="002C1A46">
        <w:rPr>
          <w:rFonts w:ascii="Times New Roman" w:hAnsi="Times New Roman"/>
          <w:i/>
          <w:lang w:eastAsia="ja-JP"/>
        </w:rPr>
        <w:tab/>
      </w:r>
      <w:r w:rsidRPr="002C1A46">
        <w:rPr>
          <w:rFonts w:ascii="Times New Roman" w:hAnsi="Times New Roman"/>
          <w:iCs/>
          <w:lang w:eastAsia="ja-JP"/>
        </w:rPr>
        <w:tab/>
      </w:r>
      <w:r w:rsidRPr="002C1A46">
        <w:rPr>
          <w:rFonts w:ascii="Times New Roman" w:hAnsi="Times New Roman"/>
          <w:iCs/>
          <w:lang w:eastAsia="ja-JP"/>
        </w:rPr>
        <w:tab/>
      </w:r>
      <w:r w:rsidRPr="002C1A46">
        <w:rPr>
          <w:rFonts w:ascii="Times New Roman" w:hAnsi="Times New Roman"/>
          <w:iCs/>
          <w:lang w:eastAsia="ja-JP"/>
        </w:rPr>
        <w:tab/>
      </w:r>
      <w:r w:rsidRPr="002C1A46">
        <w:rPr>
          <w:rFonts w:ascii="Times New Roman" w:hAnsi="Times New Roman"/>
          <w:iCs/>
          <w:lang w:eastAsia="ja-JP"/>
        </w:rPr>
        <w:tab/>
        <w:t>(8)</w:t>
      </w:r>
    </w:p>
    <w:p w14:paraId="7F684D7E" w14:textId="77777777" w:rsidR="00972157" w:rsidRPr="002C1A46" w:rsidRDefault="00972157" w:rsidP="00972157">
      <w:pPr>
        <w:pStyle w:val="RSCB02ArticleText"/>
        <w:spacing w:line="276" w:lineRule="auto"/>
        <w:rPr>
          <w:rFonts w:ascii="Times New Roman" w:hAnsi="Times New Roman"/>
          <w:lang w:eastAsia="ja-JP"/>
        </w:rPr>
      </w:pPr>
    </w:p>
    <w:p w14:paraId="5F4764C6" w14:textId="02E3BE90" w:rsidR="00601B72" w:rsidRPr="002C1A46" w:rsidRDefault="00051648" w:rsidP="00972157">
      <w:pPr>
        <w:pStyle w:val="RSCB02ArticleText"/>
        <w:spacing w:line="276" w:lineRule="auto"/>
        <w:rPr>
          <w:rFonts w:ascii="Times New Roman" w:hAnsi="Times New Roman"/>
          <w:lang w:eastAsia="ja-JP"/>
        </w:rPr>
      </w:pPr>
      <w:r w:rsidRPr="002C1A46">
        <w:rPr>
          <w:rFonts w:ascii="Times New Roman" w:hAnsi="Times New Roman"/>
          <w:lang w:eastAsia="ja-JP"/>
        </w:rPr>
        <w:t xml:space="preserve">where </w:t>
      </w:r>
      <w:proofErr w:type="spellStart"/>
      <w:r w:rsidRPr="002C1A46">
        <w:rPr>
          <w:rFonts w:ascii="Times New Roman" w:hAnsi="Times New Roman"/>
          <w:i/>
          <w:iCs/>
          <w:lang w:eastAsia="ja-JP"/>
        </w:rPr>
        <w:t>r</w:t>
      </w:r>
      <w:r w:rsidRPr="002C1A46">
        <w:rPr>
          <w:rFonts w:ascii="Times New Roman" w:hAnsi="Times New Roman"/>
          <w:i/>
          <w:iCs/>
          <w:vertAlign w:val="subscript"/>
          <w:lang w:eastAsia="ja-JP"/>
        </w:rPr>
        <w:t>ij</w:t>
      </w:r>
      <w:proofErr w:type="spellEnd"/>
      <w:r w:rsidRPr="002C1A46">
        <w:rPr>
          <w:rFonts w:ascii="Times New Roman" w:hAnsi="Times New Roman"/>
          <w:lang w:eastAsia="ja-JP"/>
        </w:rPr>
        <w:t xml:space="preserve"> is the interatomic distance and </w:t>
      </w:r>
      <w:r w:rsidRPr="002C1A46">
        <w:rPr>
          <w:rFonts w:ascii="Times New Roman" w:hAnsi="Times New Roman"/>
          <w:i/>
          <w:iCs/>
          <w:lang w:eastAsia="ja-JP"/>
        </w:rPr>
        <w:t>q</w:t>
      </w:r>
      <w:r w:rsidRPr="002C1A46">
        <w:rPr>
          <w:rFonts w:ascii="Times New Roman" w:hAnsi="Times New Roman"/>
          <w:i/>
          <w:iCs/>
          <w:vertAlign w:val="subscript"/>
          <w:lang w:eastAsia="ja-JP"/>
        </w:rPr>
        <w:t>i</w:t>
      </w:r>
      <w:r w:rsidRPr="002C1A46">
        <w:rPr>
          <w:rFonts w:ascii="Times New Roman" w:hAnsi="Times New Roman"/>
          <w:lang w:eastAsia="ja-JP"/>
        </w:rPr>
        <w:t xml:space="preserve"> is the effective charge on atom </w:t>
      </w:r>
      <w:proofErr w:type="spellStart"/>
      <w:r w:rsidRPr="002C1A46">
        <w:rPr>
          <w:rFonts w:ascii="Times New Roman" w:hAnsi="Times New Roman"/>
          <w:i/>
          <w:iCs/>
          <w:lang w:eastAsia="ja-JP"/>
        </w:rPr>
        <w:t>i</w:t>
      </w:r>
      <w:proofErr w:type="spellEnd"/>
      <w:r w:rsidRPr="002C1A46">
        <w:rPr>
          <w:rFonts w:ascii="Times New Roman" w:hAnsi="Times New Roman"/>
          <w:lang w:eastAsia="ja-JP"/>
        </w:rPr>
        <w:t xml:space="preserve"> (</w:t>
      </w:r>
      <w:proofErr w:type="spellStart"/>
      <w:r w:rsidRPr="002C1A46">
        <w:rPr>
          <w:rFonts w:ascii="Times New Roman" w:hAnsi="Times New Roman"/>
          <w:i/>
          <w:iCs/>
          <w:lang w:eastAsia="ja-JP"/>
        </w:rPr>
        <w:t>q</w:t>
      </w:r>
      <w:r w:rsidRPr="002C1A46">
        <w:rPr>
          <w:rFonts w:ascii="Times New Roman" w:hAnsi="Times New Roman"/>
          <w:vertAlign w:val="subscript"/>
          <w:lang w:eastAsia="ja-JP"/>
        </w:rPr>
        <w:t>P</w:t>
      </w:r>
      <w:proofErr w:type="spellEnd"/>
      <w:r w:rsidRPr="002C1A46">
        <w:rPr>
          <w:rFonts w:ascii="Times New Roman" w:hAnsi="Times New Roman"/>
          <w:lang w:eastAsia="ja-JP"/>
        </w:rPr>
        <w:t xml:space="preserve"> = +2.80, </w:t>
      </w:r>
      <w:proofErr w:type="spellStart"/>
      <w:r w:rsidRPr="002C1A46">
        <w:rPr>
          <w:rFonts w:ascii="Times New Roman" w:hAnsi="Times New Roman"/>
          <w:i/>
          <w:iCs/>
          <w:lang w:eastAsia="ja-JP"/>
        </w:rPr>
        <w:t>q</w:t>
      </w:r>
      <w:r w:rsidRPr="002C1A46">
        <w:rPr>
          <w:rFonts w:ascii="Times New Roman" w:hAnsi="Times New Roman"/>
          <w:vertAlign w:val="subscript"/>
          <w:lang w:eastAsia="ja-JP"/>
        </w:rPr>
        <w:t>O</w:t>
      </w:r>
      <w:proofErr w:type="spellEnd"/>
      <w:r w:rsidRPr="002C1A46">
        <w:rPr>
          <w:rFonts w:ascii="Times New Roman" w:hAnsi="Times New Roman"/>
          <w:lang w:eastAsia="ja-JP"/>
        </w:rPr>
        <w:t xml:space="preserve"> = </w:t>
      </w:r>
      <w:r w:rsidRPr="002C1A46">
        <w:rPr>
          <w:rFonts w:ascii="Times New Roman" w:hAnsi="Times New Roman"/>
          <w:lang w:eastAsia="ja-JP"/>
        </w:rPr>
        <w:softHyphen/>
        <w:t xml:space="preserve">–1.12). The potential parameter </w:t>
      </w:r>
      <w:r w:rsidRPr="002C1A46">
        <w:rPr>
          <w:rFonts w:ascii="Times New Roman" w:hAnsi="Times New Roman"/>
          <w:i/>
          <w:iCs/>
          <w:lang w:eastAsia="ja-JP"/>
        </w:rPr>
        <w:t>A</w:t>
      </w:r>
      <w:r w:rsidRPr="002C1A46">
        <w:rPr>
          <w:rFonts w:ascii="Times New Roman" w:hAnsi="Times New Roman"/>
          <w:i/>
          <w:iCs/>
          <w:vertAlign w:val="subscript"/>
          <w:lang w:eastAsia="ja-JP"/>
        </w:rPr>
        <w:t>ij</w:t>
      </w:r>
      <w:r w:rsidRPr="002C1A46">
        <w:rPr>
          <w:rFonts w:ascii="Times New Roman" w:hAnsi="Times New Roman"/>
          <w:lang w:eastAsia="ja-JP"/>
        </w:rPr>
        <w:t xml:space="preserve"> values are 27722 eV (P–O), 1992 eV (O–O) or zero (P–P); the parameter </w:t>
      </w:r>
      <w:proofErr w:type="spellStart"/>
      <w:r w:rsidRPr="002C1A46">
        <w:rPr>
          <w:rFonts w:ascii="Times New Roman" w:hAnsi="Times New Roman"/>
          <w:i/>
          <w:iCs/>
          <w:lang w:eastAsia="ja-JP"/>
        </w:rPr>
        <w:t>ρ</w:t>
      </w:r>
      <w:r w:rsidRPr="002C1A46">
        <w:rPr>
          <w:rFonts w:ascii="Times New Roman" w:hAnsi="Times New Roman"/>
          <w:i/>
          <w:iCs/>
          <w:vertAlign w:val="subscript"/>
          <w:lang w:eastAsia="ja-JP"/>
        </w:rPr>
        <w:t>ij</w:t>
      </w:r>
      <w:proofErr w:type="spellEnd"/>
      <w:r w:rsidRPr="002C1A46">
        <w:rPr>
          <w:rFonts w:ascii="Times New Roman" w:hAnsi="Times New Roman"/>
          <w:lang w:eastAsia="ja-JP"/>
        </w:rPr>
        <w:t xml:space="preserve"> values are 0.1819 Å (P–O), 0.3436 Å (O–O) or zero (P–P); and the parameter </w:t>
      </w:r>
      <w:proofErr w:type="spellStart"/>
      <w:r w:rsidRPr="002C1A46">
        <w:rPr>
          <w:rFonts w:ascii="Times New Roman" w:hAnsi="Times New Roman"/>
          <w:i/>
          <w:iCs/>
          <w:lang w:eastAsia="ja-JP"/>
        </w:rPr>
        <w:t>C</w:t>
      </w:r>
      <w:r w:rsidRPr="002C1A46">
        <w:rPr>
          <w:rFonts w:ascii="Times New Roman" w:hAnsi="Times New Roman"/>
          <w:i/>
          <w:iCs/>
          <w:vertAlign w:val="subscript"/>
          <w:lang w:eastAsia="ja-JP"/>
        </w:rPr>
        <w:t>ij</w:t>
      </w:r>
      <w:proofErr w:type="spellEnd"/>
      <w:r w:rsidRPr="002C1A46">
        <w:rPr>
          <w:rFonts w:ascii="Times New Roman" w:hAnsi="Times New Roman"/>
          <w:lang w:eastAsia="ja-JP"/>
        </w:rPr>
        <w:t xml:space="preserve"> values are 86.86 eV Å</w:t>
      </w:r>
      <w:r w:rsidRPr="002C1A46">
        <w:rPr>
          <w:rFonts w:ascii="Times New Roman" w:hAnsi="Times New Roman"/>
          <w:vertAlign w:val="superscript"/>
          <w:lang w:eastAsia="ja-JP"/>
        </w:rPr>
        <w:t>–6</w:t>
      </w:r>
      <w:r w:rsidRPr="002C1A46">
        <w:rPr>
          <w:rFonts w:ascii="Times New Roman" w:hAnsi="Times New Roman"/>
          <w:lang w:eastAsia="ja-JP"/>
        </w:rPr>
        <w:t xml:space="preserve"> (P–O), 192.58 eV Å</w:t>
      </w:r>
      <w:r w:rsidRPr="002C1A46">
        <w:rPr>
          <w:rFonts w:ascii="Times New Roman" w:hAnsi="Times New Roman"/>
          <w:vertAlign w:val="superscript"/>
          <w:lang w:eastAsia="ja-JP"/>
        </w:rPr>
        <w:t xml:space="preserve">–6 </w:t>
      </w:r>
      <w:r w:rsidRPr="002C1A46">
        <w:rPr>
          <w:rFonts w:ascii="Times New Roman" w:hAnsi="Times New Roman"/>
          <w:lang w:eastAsia="ja-JP"/>
        </w:rPr>
        <w:t xml:space="preserve">(O–O) or zero (P–P) (with </w:t>
      </w:r>
      <w:r w:rsidRPr="002C1A46">
        <w:rPr>
          <w:rFonts w:ascii="Times New Roman" w:hAnsi="Times New Roman"/>
          <w:i/>
          <w:iCs/>
          <w:lang w:eastAsia="ja-JP"/>
        </w:rPr>
        <w:t>ε</w:t>
      </w:r>
      <w:r w:rsidRPr="002C1A46">
        <w:rPr>
          <w:rFonts w:ascii="Times New Roman" w:hAnsi="Times New Roman"/>
          <w:vertAlign w:val="subscript"/>
          <w:lang w:eastAsia="ja-JP"/>
        </w:rPr>
        <w:t>0</w:t>
      </w:r>
      <w:r w:rsidRPr="002C1A46">
        <w:rPr>
          <w:rFonts w:ascii="Times New Roman" w:hAnsi="Times New Roman"/>
          <w:lang w:eastAsia="ja-JP"/>
        </w:rPr>
        <w:t xml:space="preserve"> = 8.854 × 10</w:t>
      </w:r>
      <w:r w:rsidRPr="002C1A46">
        <w:rPr>
          <w:rFonts w:ascii="Times New Roman" w:hAnsi="Times New Roman"/>
          <w:vertAlign w:val="superscript"/>
          <w:lang w:eastAsia="ja-JP"/>
        </w:rPr>
        <w:t>–12</w:t>
      </w:r>
      <w:r w:rsidRPr="002C1A46">
        <w:rPr>
          <w:rFonts w:ascii="Times New Roman" w:hAnsi="Times New Roman"/>
          <w:lang w:eastAsia="ja-JP"/>
        </w:rPr>
        <w:t xml:space="preserve"> C</w:t>
      </w:r>
      <w:r w:rsidRPr="002C1A46">
        <w:rPr>
          <w:rFonts w:ascii="Times New Roman" w:hAnsi="Times New Roman"/>
          <w:vertAlign w:val="superscript"/>
          <w:lang w:eastAsia="ja-JP"/>
        </w:rPr>
        <w:t>2</w:t>
      </w:r>
      <w:r w:rsidRPr="002C1A46">
        <w:rPr>
          <w:rFonts w:ascii="Times New Roman" w:hAnsi="Times New Roman"/>
          <w:lang w:eastAsia="ja-JP"/>
        </w:rPr>
        <w:t xml:space="preserve"> N</w:t>
      </w:r>
      <w:r w:rsidRPr="002C1A46">
        <w:rPr>
          <w:rFonts w:ascii="Times New Roman" w:hAnsi="Times New Roman"/>
          <w:vertAlign w:val="superscript"/>
          <w:lang w:eastAsia="ja-JP"/>
        </w:rPr>
        <w:t>–1</w:t>
      </w:r>
      <w:r w:rsidRPr="002C1A46">
        <w:rPr>
          <w:rFonts w:ascii="Times New Roman" w:hAnsi="Times New Roman"/>
          <w:lang w:eastAsia="ja-JP"/>
        </w:rPr>
        <w:t xml:space="preserve"> m</w:t>
      </w:r>
      <w:r w:rsidRPr="002C1A46">
        <w:rPr>
          <w:rFonts w:ascii="Times New Roman" w:hAnsi="Times New Roman"/>
          <w:vertAlign w:val="superscript"/>
          <w:lang w:eastAsia="ja-JP"/>
        </w:rPr>
        <w:t>–2</w:t>
      </w:r>
      <w:r w:rsidRPr="002C1A46">
        <w:rPr>
          <w:rFonts w:ascii="Times New Roman" w:hAnsi="Times New Roman"/>
          <w:lang w:eastAsia="ja-JP"/>
        </w:rPr>
        <w:t xml:space="preserve">). The parameters </w:t>
      </w:r>
      <w:r w:rsidRPr="002C1A46">
        <w:rPr>
          <w:rFonts w:ascii="Times New Roman" w:hAnsi="Times New Roman"/>
          <w:i/>
          <w:iCs/>
          <w:lang w:eastAsia="ja-JP"/>
        </w:rPr>
        <w:t>A</w:t>
      </w:r>
      <w:r w:rsidRPr="002C1A46">
        <w:rPr>
          <w:rFonts w:ascii="Times New Roman" w:hAnsi="Times New Roman"/>
          <w:i/>
          <w:iCs/>
          <w:vertAlign w:val="subscript"/>
          <w:lang w:eastAsia="ja-JP"/>
        </w:rPr>
        <w:t>ij</w:t>
      </w:r>
      <w:r w:rsidRPr="002C1A46">
        <w:rPr>
          <w:rFonts w:ascii="Times New Roman" w:hAnsi="Times New Roman"/>
          <w:lang w:eastAsia="ja-JP"/>
        </w:rPr>
        <w:t xml:space="preserve">, </w:t>
      </w:r>
      <w:proofErr w:type="spellStart"/>
      <w:r w:rsidRPr="002C1A46">
        <w:rPr>
          <w:rFonts w:ascii="Times New Roman" w:hAnsi="Times New Roman"/>
          <w:i/>
          <w:iCs/>
          <w:lang w:eastAsia="ja-JP"/>
        </w:rPr>
        <w:t>ρ</w:t>
      </w:r>
      <w:r w:rsidRPr="002C1A46">
        <w:rPr>
          <w:rFonts w:ascii="Times New Roman" w:hAnsi="Times New Roman"/>
          <w:i/>
          <w:iCs/>
          <w:vertAlign w:val="subscript"/>
          <w:lang w:eastAsia="ja-JP"/>
        </w:rPr>
        <w:t>ij</w:t>
      </w:r>
      <w:proofErr w:type="spellEnd"/>
      <w:r w:rsidRPr="002C1A46">
        <w:rPr>
          <w:rFonts w:ascii="Times New Roman" w:hAnsi="Times New Roman"/>
          <w:lang w:eastAsia="ja-JP"/>
        </w:rPr>
        <w:t xml:space="preserve">, and </w:t>
      </w:r>
      <w:proofErr w:type="spellStart"/>
      <w:r w:rsidRPr="002C1A46">
        <w:rPr>
          <w:rFonts w:ascii="Times New Roman" w:hAnsi="Times New Roman"/>
          <w:i/>
          <w:iCs/>
          <w:lang w:eastAsia="ja-JP"/>
        </w:rPr>
        <w:t>C</w:t>
      </w:r>
      <w:r w:rsidRPr="002C1A46">
        <w:rPr>
          <w:rFonts w:ascii="Times New Roman" w:hAnsi="Times New Roman"/>
          <w:i/>
          <w:iCs/>
          <w:vertAlign w:val="subscript"/>
          <w:lang w:eastAsia="ja-JP"/>
        </w:rPr>
        <w:t>ij</w:t>
      </w:r>
      <w:proofErr w:type="spellEnd"/>
      <w:r w:rsidRPr="002C1A46">
        <w:rPr>
          <w:rFonts w:ascii="Times New Roman" w:hAnsi="Times New Roman"/>
          <w:lang w:eastAsia="ja-JP"/>
        </w:rPr>
        <w:t xml:space="preserve"> can be found in Ref. </w:t>
      </w:r>
      <w:r w:rsidR="00263941" w:rsidRPr="002C1A46">
        <w:rPr>
          <w:rFonts w:ascii="Times New Roman" w:hAnsi="Times New Roman"/>
          <w:lang w:eastAsia="ja-JP"/>
        </w:rPr>
        <w:t>35</w:t>
      </w:r>
      <w:r w:rsidRPr="002C1A46">
        <w:rPr>
          <w:rFonts w:ascii="Times New Roman" w:hAnsi="Times New Roman"/>
          <w:lang w:eastAsia="ja-JP"/>
        </w:rPr>
        <w:t>. The optimisation of the atomic configuration was performed by minimising the energy using the conjugate-gradient method</w:t>
      </w:r>
      <w:r w:rsidR="0017471A" w:rsidRPr="002C1A46">
        <w:rPr>
          <w:rFonts w:ascii="Times New Roman" w:hAnsi="Times New Roman"/>
          <w:lang w:eastAsia="ja-JP"/>
        </w:rPr>
        <w:t xml:space="preserve"> within the MD framework</w:t>
      </w:r>
      <w:r w:rsidRPr="002C1A46">
        <w:rPr>
          <w:rFonts w:ascii="Times New Roman" w:hAnsi="Times New Roman"/>
          <w:lang w:eastAsia="ja-JP"/>
        </w:rPr>
        <w:t>.</w:t>
      </w:r>
      <w:r w:rsidR="009C3F18" w:rsidRPr="002C1A46">
        <w:rPr>
          <w:rFonts w:ascii="Times New Roman" w:hAnsi="Times New Roman"/>
          <w:lang w:eastAsia="ja-JP"/>
        </w:rPr>
        <w:t xml:space="preserve"> This energy minimisation was specifically introduced to physically relax local geometric distortions (such as unphysical bond lengths or bond angles) generated during the initial RMC process.</w:t>
      </w:r>
      <w:r w:rsidRPr="002C1A46">
        <w:rPr>
          <w:rFonts w:ascii="Times New Roman" w:hAnsi="Times New Roman"/>
          <w:lang w:eastAsia="ja-JP"/>
        </w:rPr>
        <w:t xml:space="preserve"> </w:t>
      </w:r>
      <w:r w:rsidR="009C3F18" w:rsidRPr="002C1A46">
        <w:rPr>
          <w:rFonts w:ascii="Times New Roman" w:hAnsi="Times New Roman"/>
          <w:lang w:eastAsia="ja-JP"/>
        </w:rPr>
        <w:t>Following this energy minimisation step</w:t>
      </w:r>
      <w:r w:rsidRPr="002C1A46">
        <w:rPr>
          <w:rFonts w:ascii="Times New Roman" w:hAnsi="Times New Roman"/>
          <w:lang w:eastAsia="ja-JP"/>
        </w:rPr>
        <w:t>, the atomic configuration was further refined by RMC modelling while constraining the P–O and O–P coordination numbers, O–P–O bond angle distribution, and partial pair-distribution functions within the first coordination distance.</w:t>
      </w:r>
      <w:r w:rsidR="009C3F18" w:rsidRPr="002C1A46">
        <w:rPr>
          <w:rFonts w:ascii="Times New Roman" w:hAnsi="Times New Roman"/>
          <w:lang w:eastAsia="ja-JP"/>
        </w:rPr>
        <w:t xml:space="preserve"> This multi-step protocol was specifically adopted for P</w:t>
      </w:r>
      <w:r w:rsidR="009C3F18" w:rsidRPr="002C1A46">
        <w:rPr>
          <w:rFonts w:ascii="Times New Roman" w:hAnsi="Times New Roman"/>
          <w:vertAlign w:val="subscript"/>
          <w:lang w:eastAsia="ja-JP"/>
        </w:rPr>
        <w:t>2</w:t>
      </w:r>
      <w:r w:rsidR="009C3F18" w:rsidRPr="002C1A46">
        <w:rPr>
          <w:rFonts w:ascii="Times New Roman" w:hAnsi="Times New Roman"/>
          <w:lang w:eastAsia="ja-JP"/>
        </w:rPr>
        <w:t>O</w:t>
      </w:r>
      <w:r w:rsidR="009C3F18" w:rsidRPr="002C1A46">
        <w:rPr>
          <w:rFonts w:ascii="Times New Roman" w:hAnsi="Times New Roman"/>
          <w:vertAlign w:val="subscript"/>
          <w:lang w:eastAsia="ja-JP"/>
        </w:rPr>
        <w:t>5</w:t>
      </w:r>
      <w:r w:rsidR="009C3F18" w:rsidRPr="002C1A46">
        <w:rPr>
          <w:rFonts w:ascii="Times New Roman" w:hAnsi="Times New Roman"/>
          <w:lang w:eastAsia="ja-JP"/>
        </w:rPr>
        <w:t xml:space="preserve"> glass because reproducing the pure Q</w:t>
      </w:r>
      <w:r w:rsidR="009C3F18" w:rsidRPr="002C1A46">
        <w:rPr>
          <w:rFonts w:ascii="Times New Roman" w:hAnsi="Times New Roman"/>
          <w:vertAlign w:val="superscript"/>
          <w:lang w:eastAsia="ja-JP"/>
        </w:rPr>
        <w:t>3</w:t>
      </w:r>
      <w:r w:rsidR="009C3F18" w:rsidRPr="002C1A46">
        <w:rPr>
          <w:rFonts w:ascii="Times New Roman" w:hAnsi="Times New Roman"/>
          <w:lang w:eastAsia="ja-JP"/>
        </w:rPr>
        <w:t xml:space="preserve"> network topology is challenging using classical pair potentials alone.</w:t>
      </w:r>
    </w:p>
    <w:p w14:paraId="4AC3E3EC" w14:textId="2C87F7F0" w:rsidR="004C46E3" w:rsidRDefault="00051648" w:rsidP="00051648">
      <w:pPr>
        <w:pStyle w:val="RSCB02ArticleText"/>
        <w:spacing w:line="276" w:lineRule="auto"/>
        <w:rPr>
          <w:rFonts w:ascii="Times New Roman" w:hAnsi="Times New Roman"/>
          <w:lang w:val="en-US" w:eastAsia="ja-JP"/>
        </w:rPr>
      </w:pPr>
      <w:r w:rsidRPr="002C1A46">
        <w:rPr>
          <w:rFonts w:ascii="Times New Roman" w:hAnsi="Times New Roman"/>
          <w:lang w:eastAsia="ja-JP"/>
        </w:rPr>
        <w:tab/>
      </w:r>
      <w:r w:rsidR="00481738" w:rsidRPr="002C1A46">
        <w:rPr>
          <w:rFonts w:ascii="Times New Roman" w:hAnsi="Times New Roman"/>
          <w:lang w:eastAsia="ja-JP"/>
        </w:rPr>
        <w:t>For comparison, a three-dimensional structure model of SiO</w:t>
      </w:r>
      <w:r w:rsidR="00481738" w:rsidRPr="002C1A46">
        <w:rPr>
          <w:rFonts w:ascii="Times New Roman" w:hAnsi="Times New Roman"/>
          <w:vertAlign w:val="subscript"/>
          <w:lang w:eastAsia="ja-JP"/>
        </w:rPr>
        <w:t>2</w:t>
      </w:r>
      <w:r w:rsidR="00481738" w:rsidRPr="002C1A46">
        <w:rPr>
          <w:rFonts w:ascii="Times New Roman" w:hAnsi="Times New Roman"/>
          <w:lang w:eastAsia="ja-JP"/>
        </w:rPr>
        <w:t xml:space="preserve"> glass containing 9000 atoms (Si: 3000, O: 6000) was constructed using combined MD–RMC modelling using the protocols described in Ref. </w:t>
      </w:r>
      <w:r w:rsidR="009C3F18" w:rsidRPr="002C1A46">
        <w:rPr>
          <w:rFonts w:ascii="Times New Roman" w:hAnsi="Times New Roman"/>
          <w:lang w:eastAsia="ja-JP"/>
        </w:rPr>
        <w:t>36</w:t>
      </w:r>
      <w:r w:rsidR="00481738" w:rsidRPr="002C1A46">
        <w:rPr>
          <w:rFonts w:ascii="Times New Roman" w:hAnsi="Times New Roman"/>
          <w:lang w:eastAsia="ja-JP"/>
        </w:rPr>
        <w:t xml:space="preserve">. The MD simulation employed a Born–Mayer type pair potential, with charges </w:t>
      </w:r>
      <w:proofErr w:type="spellStart"/>
      <w:r w:rsidR="00481738" w:rsidRPr="002C1A46">
        <w:rPr>
          <w:rFonts w:ascii="Times New Roman" w:hAnsi="Times New Roman"/>
          <w:i/>
          <w:iCs/>
          <w:lang w:eastAsia="ja-JP"/>
        </w:rPr>
        <w:t>q</w:t>
      </w:r>
      <w:r w:rsidR="00481738" w:rsidRPr="002C1A46">
        <w:rPr>
          <w:rFonts w:ascii="Times New Roman" w:hAnsi="Times New Roman"/>
          <w:vertAlign w:val="subscript"/>
          <w:lang w:eastAsia="ja-JP"/>
        </w:rPr>
        <w:t>Si</w:t>
      </w:r>
      <w:proofErr w:type="spellEnd"/>
      <w:r w:rsidR="00481738" w:rsidRPr="002C1A46">
        <w:rPr>
          <w:rFonts w:ascii="Times New Roman" w:hAnsi="Times New Roman"/>
          <w:lang w:eastAsia="ja-JP"/>
        </w:rPr>
        <w:t xml:space="preserve"> and </w:t>
      </w:r>
      <w:proofErr w:type="spellStart"/>
      <w:r w:rsidR="00481738" w:rsidRPr="002C1A46">
        <w:rPr>
          <w:rFonts w:ascii="Times New Roman" w:hAnsi="Times New Roman"/>
          <w:i/>
          <w:iCs/>
          <w:lang w:eastAsia="ja-JP"/>
        </w:rPr>
        <w:t>q</w:t>
      </w:r>
      <w:r w:rsidR="00481738" w:rsidRPr="002C1A46">
        <w:rPr>
          <w:rFonts w:ascii="Times New Roman" w:hAnsi="Times New Roman"/>
          <w:vertAlign w:val="subscript"/>
          <w:lang w:eastAsia="ja-JP"/>
        </w:rPr>
        <w:t>O</w:t>
      </w:r>
      <w:proofErr w:type="spellEnd"/>
      <w:r w:rsidR="00481738" w:rsidRPr="002C1A46">
        <w:rPr>
          <w:rFonts w:ascii="Times New Roman" w:hAnsi="Times New Roman"/>
          <w:lang w:eastAsia="ja-JP"/>
        </w:rPr>
        <w:t xml:space="preserve"> set to + 2.4 and </w:t>
      </w:r>
      <w:r w:rsidR="00481738" w:rsidRPr="002C1A46">
        <w:rPr>
          <w:rFonts w:ascii="Times New Roman" w:hAnsi="Times New Roman"/>
          <w:lang w:eastAsia="ja-JP"/>
        </w:rPr>
        <w:softHyphen/>
        <w:t xml:space="preserve">–1.2, respectively. The </w:t>
      </w:r>
      <w:r w:rsidR="00481738" w:rsidRPr="002C1A46">
        <w:rPr>
          <w:rFonts w:ascii="Times New Roman" w:hAnsi="Times New Roman"/>
          <w:i/>
          <w:iCs/>
          <w:lang w:eastAsia="ja-JP"/>
        </w:rPr>
        <w:t>B</w:t>
      </w:r>
      <w:r w:rsidR="00481738" w:rsidRPr="002C1A46">
        <w:rPr>
          <w:rFonts w:ascii="Times New Roman" w:hAnsi="Times New Roman"/>
          <w:i/>
          <w:iCs/>
          <w:vertAlign w:val="subscript"/>
          <w:lang w:eastAsia="ja-JP"/>
        </w:rPr>
        <w:t>ij</w:t>
      </w:r>
      <w:r w:rsidR="00481738" w:rsidRPr="002C1A46">
        <w:rPr>
          <w:rFonts w:ascii="Times New Roman" w:hAnsi="Times New Roman"/>
          <w:lang w:eastAsia="ja-JP"/>
        </w:rPr>
        <w:t xml:space="preserve"> values were 21.39 × 10</w:t>
      </w:r>
      <w:r w:rsidR="00481738" w:rsidRPr="002C1A46">
        <w:rPr>
          <w:rFonts w:ascii="Times New Roman" w:hAnsi="Times New Roman"/>
          <w:vertAlign w:val="superscript"/>
          <w:lang w:eastAsia="ja-JP"/>
        </w:rPr>
        <w:t>−16</w:t>
      </w:r>
      <w:r w:rsidR="00481738" w:rsidRPr="002C1A46">
        <w:rPr>
          <w:rFonts w:ascii="Times New Roman" w:hAnsi="Times New Roman"/>
          <w:lang w:eastAsia="ja-JP"/>
        </w:rPr>
        <w:t xml:space="preserve"> J (Si–O), 0.6246 × 10</w:t>
      </w:r>
      <w:r w:rsidR="00481738" w:rsidRPr="002C1A46">
        <w:rPr>
          <w:rFonts w:ascii="Times New Roman" w:hAnsi="Times New Roman"/>
          <w:vertAlign w:val="superscript"/>
          <w:lang w:eastAsia="ja-JP"/>
        </w:rPr>
        <w:t>−16</w:t>
      </w:r>
      <w:r w:rsidR="00481738" w:rsidRPr="002C1A46">
        <w:rPr>
          <w:rFonts w:ascii="Times New Roman" w:hAnsi="Times New Roman"/>
          <w:lang w:eastAsia="ja-JP"/>
        </w:rPr>
        <w:t xml:space="preserve"> J (O–O) or zero (Si–Si); the </w:t>
      </w:r>
      <w:proofErr w:type="spellStart"/>
      <w:r w:rsidR="00481738" w:rsidRPr="002C1A46">
        <w:rPr>
          <w:rFonts w:ascii="Times New Roman" w:hAnsi="Times New Roman"/>
          <w:i/>
          <w:iCs/>
          <w:lang w:eastAsia="ja-JP"/>
        </w:rPr>
        <w:t>R</w:t>
      </w:r>
      <w:r w:rsidR="00481738" w:rsidRPr="002C1A46">
        <w:rPr>
          <w:rFonts w:ascii="Times New Roman" w:hAnsi="Times New Roman"/>
          <w:i/>
          <w:iCs/>
          <w:vertAlign w:val="subscript"/>
          <w:lang w:eastAsia="ja-JP"/>
        </w:rPr>
        <w:t>ij</w:t>
      </w:r>
      <w:proofErr w:type="spellEnd"/>
      <w:r w:rsidR="00481738" w:rsidRPr="002C1A46">
        <w:rPr>
          <w:rFonts w:ascii="Times New Roman" w:hAnsi="Times New Roman"/>
          <w:lang w:eastAsia="ja-JP"/>
        </w:rPr>
        <w:t xml:space="preserve"> values were 0.174 Å (Si–O), 0.362 Å (O–O) or zero (Si–Si). The initial atomic configuration randomly distributed in a cubic cell at the experimental atomic number density (0.06615 Å</w:t>
      </w:r>
      <w:r w:rsidR="00481738" w:rsidRPr="002C1A46">
        <w:rPr>
          <w:rFonts w:ascii="Times New Roman" w:hAnsi="Times New Roman"/>
          <w:vertAlign w:val="superscript"/>
          <w:lang w:eastAsia="ja-JP"/>
        </w:rPr>
        <w:t>–3</w:t>
      </w:r>
      <w:r w:rsidR="00481738" w:rsidRPr="002C1A46">
        <w:rPr>
          <w:rFonts w:ascii="Times New Roman" w:hAnsi="Times New Roman"/>
          <w:lang w:eastAsia="ja-JP"/>
        </w:rPr>
        <w:t xml:space="preserve">). The MD simulation was performed with a time step of 1 fs in the </w:t>
      </w:r>
      <w:r w:rsidR="00481738" w:rsidRPr="002C1A46">
        <w:rPr>
          <w:rFonts w:ascii="Times New Roman" w:hAnsi="Times New Roman"/>
          <w:i/>
          <w:iCs/>
          <w:lang w:eastAsia="ja-JP"/>
        </w:rPr>
        <w:t>NVT</w:t>
      </w:r>
      <w:r w:rsidR="00481738" w:rsidRPr="002C1A46">
        <w:rPr>
          <w:rFonts w:ascii="Times New Roman" w:hAnsi="Times New Roman"/>
          <w:lang w:eastAsia="ja-JP"/>
        </w:rPr>
        <w:t xml:space="preserve"> ensemble. The system was equilibrated at 4000 K for 20,000 time-steps, cooled to 300 K over 200,000 time-steps, and then equilibrated at 300 K for 50,000 time-steps. A </w:t>
      </w:r>
      <w:proofErr w:type="spellStart"/>
      <w:r w:rsidR="00481738" w:rsidRPr="002C1A46">
        <w:rPr>
          <w:rFonts w:ascii="Times New Roman" w:hAnsi="Times New Roman"/>
          <w:lang w:eastAsia="ja-JP"/>
        </w:rPr>
        <w:t>Nosé</w:t>
      </w:r>
      <w:proofErr w:type="spellEnd"/>
      <w:r w:rsidR="00481738" w:rsidRPr="002C1A46">
        <w:rPr>
          <w:rFonts w:ascii="Times New Roman" w:hAnsi="Times New Roman"/>
          <w:lang w:eastAsia="ja-JP"/>
        </w:rPr>
        <w:t xml:space="preserve">–Hoover thermostat was used to control the temperature. The resulting configuration was refined by RMC modelling with constraints on the Si–O coordination number, O–Si–O bond angle distribution, and partial pair-distribution functions within the first coordination shell. The cutoff distance for constraints on coordination number and bond angle distribution was set to 1.90 </w:t>
      </w:r>
      <w:r w:rsidR="00481738" w:rsidRPr="002C1A46">
        <w:rPr>
          <w:rFonts w:ascii="Times New Roman" w:hAnsi="Times New Roman"/>
          <w:lang w:eastAsia="ja-JP"/>
        </w:rPr>
        <w:t>Å, corresponding to the first minimum of the Si–O peak in the pair distribution function of SiO</w:t>
      </w:r>
      <w:r w:rsidR="00481738" w:rsidRPr="002C1A46">
        <w:rPr>
          <w:rFonts w:ascii="Times New Roman" w:hAnsi="Times New Roman"/>
          <w:vertAlign w:val="subscript"/>
          <w:lang w:eastAsia="ja-JP"/>
        </w:rPr>
        <w:t>2</w:t>
      </w:r>
      <w:r w:rsidR="00481738" w:rsidRPr="002C1A46">
        <w:rPr>
          <w:rFonts w:ascii="Times New Roman" w:hAnsi="Times New Roman"/>
          <w:lang w:eastAsia="ja-JP"/>
        </w:rPr>
        <w:t xml:space="preserve"> glass.</w:t>
      </w:r>
    </w:p>
    <w:p w14:paraId="5908FB73" w14:textId="2E28A92E" w:rsidR="004C46E3" w:rsidRPr="004C46E3" w:rsidRDefault="004C46E3" w:rsidP="00051648">
      <w:pPr>
        <w:pStyle w:val="RSCB02ArticleText"/>
        <w:spacing w:line="276" w:lineRule="auto"/>
        <w:rPr>
          <w:rFonts w:ascii="Times New Roman" w:hAnsi="Times New Roman"/>
          <w:lang w:val="en-US" w:eastAsia="ja-JP"/>
        </w:rPr>
      </w:pPr>
      <w:r>
        <w:rPr>
          <w:rFonts w:ascii="Times New Roman" w:hAnsi="Times New Roman"/>
          <w:lang w:val="en-US" w:eastAsia="ja-JP"/>
        </w:rPr>
        <w:tab/>
      </w:r>
      <w:r w:rsidRPr="00CE59FF">
        <w:rPr>
          <w:rFonts w:ascii="Times New Roman" w:hAnsi="Times New Roman"/>
          <w:color w:val="000000" w:themeColor="text1"/>
          <w:lang w:val="en-US" w:eastAsia="ja-JP"/>
        </w:rPr>
        <w:t>Further technical details of structure modelling</w:t>
      </w:r>
      <w:r w:rsidR="005B06F8" w:rsidRPr="00CE59FF">
        <w:rPr>
          <w:rFonts w:ascii="Times New Roman" w:hAnsi="Times New Roman"/>
          <w:color w:val="000000" w:themeColor="text1"/>
          <w:lang w:val="en-US" w:eastAsia="ja-JP"/>
        </w:rPr>
        <w:t xml:space="preserve"> and a detailed evaluation for the modelled intermediate-range networks, especially regarding ring statistics,</w:t>
      </w:r>
      <w:r w:rsidRPr="00CE59FF">
        <w:rPr>
          <w:rFonts w:ascii="Times New Roman" w:hAnsi="Times New Roman" w:hint="eastAsia"/>
          <w:color w:val="000000" w:themeColor="text1"/>
          <w:lang w:val="en-US" w:eastAsia="ja-JP"/>
        </w:rPr>
        <w:t xml:space="preserve"> </w:t>
      </w:r>
      <w:r w:rsidRPr="00CE59FF">
        <w:rPr>
          <w:rFonts w:ascii="Times New Roman" w:hAnsi="Times New Roman"/>
          <w:color w:val="000000" w:themeColor="text1"/>
          <w:lang w:val="en-US" w:eastAsia="ja-JP"/>
        </w:rPr>
        <w:t>are provided in the Supporting Information (Section</w:t>
      </w:r>
      <w:r w:rsidR="001C142C" w:rsidRPr="00CE59FF">
        <w:rPr>
          <w:rFonts w:ascii="Times New Roman" w:hAnsi="Times New Roman"/>
          <w:color w:val="000000" w:themeColor="text1"/>
          <w:lang w:val="en-US" w:eastAsia="ja-JP"/>
        </w:rPr>
        <w:t>s</w:t>
      </w:r>
      <w:r w:rsidRPr="00CE59FF">
        <w:rPr>
          <w:rFonts w:ascii="Times New Roman" w:hAnsi="Times New Roman"/>
          <w:color w:val="000000" w:themeColor="text1"/>
          <w:lang w:val="en-US" w:eastAsia="ja-JP"/>
        </w:rPr>
        <w:t xml:space="preserve"> S1</w:t>
      </w:r>
      <w:r w:rsidR="005B06F8" w:rsidRPr="00CE59FF">
        <w:rPr>
          <w:rFonts w:ascii="Times New Roman" w:hAnsi="Times New Roman"/>
          <w:color w:val="000000" w:themeColor="text1"/>
          <w:lang w:val="en-US" w:eastAsia="ja-JP"/>
        </w:rPr>
        <w:t xml:space="preserve"> and S2</w:t>
      </w:r>
      <w:r w:rsidRPr="00CE59FF">
        <w:rPr>
          <w:rFonts w:ascii="Times New Roman" w:hAnsi="Times New Roman"/>
          <w:color w:val="000000" w:themeColor="text1"/>
          <w:lang w:val="en-US" w:eastAsia="ja-JP"/>
        </w:rPr>
        <w:t>).</w:t>
      </w:r>
    </w:p>
    <w:p w14:paraId="47099582" w14:textId="15737774" w:rsidR="00972157" w:rsidRPr="002C1A46" w:rsidRDefault="00972157" w:rsidP="00051648">
      <w:pPr>
        <w:pStyle w:val="RSCB02ArticleText"/>
        <w:spacing w:line="276" w:lineRule="auto"/>
        <w:rPr>
          <w:rFonts w:ascii="Times New Roman" w:hAnsi="Times New Roman"/>
          <w:lang w:eastAsia="ja-JP"/>
        </w:rPr>
      </w:pPr>
    </w:p>
    <w:p w14:paraId="0E04B660" w14:textId="6108DD78" w:rsidR="004265DC" w:rsidRPr="002C1A46" w:rsidRDefault="003D7A50" w:rsidP="004265DC">
      <w:pPr>
        <w:pStyle w:val="RSCB06BHeadingSub-Section"/>
      </w:pPr>
      <w:r w:rsidRPr="002C1A46">
        <w:t>2.</w:t>
      </w:r>
      <w:r w:rsidR="00DD36E6" w:rsidRPr="002C1A46">
        <w:t>3</w:t>
      </w:r>
      <w:r w:rsidRPr="002C1A46">
        <w:t xml:space="preserve"> </w:t>
      </w:r>
      <w:r w:rsidR="00DD36E6" w:rsidRPr="002C1A46">
        <w:t>Topological analyses</w:t>
      </w:r>
    </w:p>
    <w:p w14:paraId="737E496A" w14:textId="1F968556" w:rsidR="00AD4C8B" w:rsidRPr="005130A1" w:rsidRDefault="00481738" w:rsidP="001229E8">
      <w:pPr>
        <w:pStyle w:val="08ArticleText"/>
        <w:spacing w:line="276" w:lineRule="auto"/>
        <w:rPr>
          <w:color w:val="EE0000"/>
          <w:lang w:val="en-US" w:eastAsia="ja-JP"/>
        </w:rPr>
      </w:pPr>
      <w:r w:rsidRPr="002C1A46">
        <w:rPr>
          <w:lang w:eastAsia="ja-JP"/>
        </w:rPr>
        <w:t xml:space="preserve">The bond-angle distribution </w:t>
      </w:r>
      <w:r w:rsidRPr="002C1A46">
        <w:rPr>
          <w:i/>
          <w:iCs/>
          <w:lang w:eastAsia="ja-JP"/>
        </w:rPr>
        <w:t>B</w:t>
      </w:r>
      <w:r w:rsidRPr="002C1A46">
        <w:rPr>
          <w:lang w:eastAsia="ja-JP"/>
        </w:rPr>
        <w:t>(</w:t>
      </w:r>
      <w:r w:rsidRPr="002C1A46">
        <w:rPr>
          <w:i/>
          <w:iCs/>
          <w:lang w:eastAsia="ja-JP"/>
        </w:rPr>
        <w:t>θ</w:t>
      </w:r>
      <w:r w:rsidRPr="002C1A46">
        <w:rPr>
          <w:lang w:eastAsia="ja-JP"/>
        </w:rPr>
        <w:t xml:space="preserve">) was calculated as the number of bonds between </w:t>
      </w:r>
      <w:r w:rsidRPr="002C1A46">
        <w:rPr>
          <w:i/>
          <w:iCs/>
          <w:lang w:eastAsia="ja-JP"/>
        </w:rPr>
        <w:t>θ</w:t>
      </w:r>
      <w:r w:rsidRPr="002C1A46">
        <w:rPr>
          <w:lang w:eastAsia="ja-JP"/>
        </w:rPr>
        <w:t xml:space="preserve"> and </w:t>
      </w:r>
      <w:r w:rsidRPr="002C1A46">
        <w:rPr>
          <w:i/>
          <w:iCs/>
          <w:lang w:eastAsia="ja-JP"/>
        </w:rPr>
        <w:t>θ</w:t>
      </w:r>
      <w:r w:rsidRPr="002C1A46">
        <w:rPr>
          <w:lang w:eastAsia="ja-JP"/>
        </w:rPr>
        <w:t xml:space="preserve"> + </w:t>
      </w:r>
      <w:proofErr w:type="spellStart"/>
      <w:r w:rsidRPr="002C1A46">
        <w:rPr>
          <w:lang w:eastAsia="ja-JP"/>
        </w:rPr>
        <w:t>Δ</w:t>
      </w:r>
      <w:r w:rsidRPr="002C1A46">
        <w:rPr>
          <w:i/>
          <w:iCs/>
          <w:lang w:eastAsia="ja-JP"/>
        </w:rPr>
        <w:t>θ</w:t>
      </w:r>
      <w:proofErr w:type="spellEnd"/>
      <w:r w:rsidRPr="002C1A46">
        <w:rPr>
          <w:lang w:eastAsia="ja-JP"/>
        </w:rPr>
        <w:t xml:space="preserve">, which is dependent on the solid angle ΔΩ </w:t>
      </w:r>
      <w:r w:rsidRPr="002C1A46">
        <w:rPr>
          <w:rFonts w:ascii="Cambria Math" w:hAnsi="Cambria Math" w:cs="Cambria Math"/>
          <w:lang w:eastAsia="ja-JP"/>
        </w:rPr>
        <w:t>∝</w:t>
      </w:r>
      <w:r w:rsidRPr="002C1A46">
        <w:rPr>
          <w:lang w:eastAsia="ja-JP"/>
        </w:rPr>
        <w:t xml:space="preserve"> </w:t>
      </w:r>
      <w:proofErr w:type="spellStart"/>
      <w:r w:rsidRPr="002C1A46">
        <w:rPr>
          <w:lang w:eastAsia="ja-JP"/>
        </w:rPr>
        <w:t>sin</w:t>
      </w:r>
      <w:r w:rsidRPr="002C1A46">
        <w:rPr>
          <w:i/>
          <w:iCs/>
          <w:lang w:eastAsia="ja-JP"/>
        </w:rPr>
        <w:t>θ</w:t>
      </w:r>
      <w:proofErr w:type="spellEnd"/>
      <w:r w:rsidRPr="002C1A46">
        <w:rPr>
          <w:lang w:eastAsia="ja-JP"/>
        </w:rPr>
        <w:t xml:space="preserve"> subtended at that value of </w:t>
      </w:r>
      <w:r w:rsidRPr="002C1A46">
        <w:rPr>
          <w:i/>
          <w:iCs/>
          <w:lang w:eastAsia="ja-JP"/>
        </w:rPr>
        <w:t>θ</w:t>
      </w:r>
      <w:r w:rsidRPr="002C1A46">
        <w:rPr>
          <w:lang w:eastAsia="ja-JP"/>
        </w:rPr>
        <w:t xml:space="preserve">. Thus, each bond angle distribution was plotted as </w:t>
      </w:r>
      <w:r w:rsidRPr="002C1A46">
        <w:rPr>
          <w:i/>
          <w:iCs/>
          <w:lang w:eastAsia="ja-JP"/>
        </w:rPr>
        <w:t>B</w:t>
      </w:r>
      <w:r w:rsidRPr="002C1A46">
        <w:rPr>
          <w:lang w:eastAsia="ja-JP"/>
        </w:rPr>
        <w:t>(</w:t>
      </w:r>
      <w:r w:rsidRPr="002C1A46">
        <w:rPr>
          <w:i/>
          <w:iCs/>
          <w:lang w:eastAsia="ja-JP"/>
        </w:rPr>
        <w:t>θ</w:t>
      </w:r>
      <w:r w:rsidRPr="002C1A46">
        <w:rPr>
          <w:lang w:eastAsia="ja-JP"/>
        </w:rPr>
        <w:t>)/</w:t>
      </w:r>
      <w:proofErr w:type="spellStart"/>
      <w:r w:rsidRPr="002C1A46">
        <w:rPr>
          <w:lang w:eastAsia="ja-JP"/>
        </w:rPr>
        <w:t>sin</w:t>
      </w:r>
      <w:r w:rsidRPr="002C1A46">
        <w:rPr>
          <w:i/>
          <w:iCs/>
          <w:lang w:eastAsia="ja-JP"/>
        </w:rPr>
        <w:t>θ</w:t>
      </w:r>
      <w:proofErr w:type="spellEnd"/>
      <w:r w:rsidRPr="002C1A46">
        <w:rPr>
          <w:lang w:eastAsia="ja-JP"/>
        </w:rPr>
        <w:t xml:space="preserve"> to compensate for the effect of ΔΩ. The primitive (P–</w:t>
      </w:r>
      <w:proofErr w:type="gramStart"/>
      <w:r w:rsidRPr="002C1A46">
        <w:rPr>
          <w:lang w:eastAsia="ja-JP"/>
        </w:rPr>
        <w:t>O)</w:t>
      </w:r>
      <w:r w:rsidRPr="002C1A46">
        <w:rPr>
          <w:i/>
          <w:iCs/>
          <w:vertAlign w:val="subscript"/>
          <w:lang w:eastAsia="ja-JP"/>
        </w:rPr>
        <w:t>n</w:t>
      </w:r>
      <w:proofErr w:type="gramEnd"/>
      <w:r w:rsidRPr="002C1A46">
        <w:rPr>
          <w:lang w:eastAsia="ja-JP"/>
        </w:rPr>
        <w:t xml:space="preserve"> and (Si–</w:t>
      </w:r>
      <w:proofErr w:type="gramStart"/>
      <w:r w:rsidRPr="002C1A46">
        <w:rPr>
          <w:lang w:eastAsia="ja-JP"/>
        </w:rPr>
        <w:t>O)</w:t>
      </w:r>
      <w:r w:rsidRPr="002C1A46">
        <w:rPr>
          <w:i/>
          <w:iCs/>
          <w:vertAlign w:val="subscript"/>
          <w:lang w:eastAsia="ja-JP"/>
        </w:rPr>
        <w:t>n</w:t>
      </w:r>
      <w:proofErr w:type="gramEnd"/>
      <w:r w:rsidRPr="002C1A46">
        <w:rPr>
          <w:lang w:eastAsia="ja-JP"/>
        </w:rPr>
        <w:t xml:space="preserve"> ring size distributions for P</w:t>
      </w:r>
      <w:r w:rsidRPr="002C1A46">
        <w:rPr>
          <w:vertAlign w:val="subscript"/>
          <w:lang w:eastAsia="ja-JP"/>
        </w:rPr>
        <w:t>2</w:t>
      </w:r>
      <w:r w:rsidRPr="002C1A46">
        <w:rPr>
          <w:lang w:eastAsia="ja-JP"/>
        </w:rPr>
        <w:t>O</w:t>
      </w:r>
      <w:r w:rsidRPr="002C1A46">
        <w:rPr>
          <w:vertAlign w:val="subscript"/>
          <w:lang w:eastAsia="ja-JP"/>
        </w:rPr>
        <w:t>5</w:t>
      </w:r>
      <w:r w:rsidRPr="002C1A46">
        <w:rPr>
          <w:lang w:eastAsia="ja-JP"/>
        </w:rPr>
        <w:t xml:space="preserve"> and SiO</w:t>
      </w:r>
      <w:r w:rsidRPr="002C1A46">
        <w:rPr>
          <w:vertAlign w:val="subscript"/>
          <w:lang w:eastAsia="ja-JP"/>
        </w:rPr>
        <w:t>2</w:t>
      </w:r>
      <w:r w:rsidRPr="002C1A46">
        <w:rPr>
          <w:lang w:eastAsia="ja-JP"/>
        </w:rPr>
        <w:t xml:space="preserve"> glasses were calculated using the R.I.N.G.S. code</w:t>
      </w:r>
      <w:r w:rsidRPr="002C1A46">
        <w:rPr>
          <w:vertAlign w:val="superscript"/>
          <w:lang w:eastAsia="ja-JP"/>
        </w:rPr>
        <w:t>23</w:t>
      </w:r>
      <w:r w:rsidRPr="002C1A46">
        <w:rPr>
          <w:lang w:eastAsia="ja-JP"/>
        </w:rPr>
        <w:t xml:space="preserve"> with cutoff distances </w:t>
      </w:r>
      <w:proofErr w:type="spellStart"/>
      <w:r w:rsidRPr="002C1A46">
        <w:rPr>
          <w:i/>
          <w:iCs/>
          <w:lang w:eastAsia="ja-JP"/>
        </w:rPr>
        <w:t>r</w:t>
      </w:r>
      <w:r w:rsidRPr="002C1A46">
        <w:rPr>
          <w:vertAlign w:val="subscript"/>
          <w:lang w:eastAsia="ja-JP"/>
        </w:rPr>
        <w:t>P</w:t>
      </w:r>
      <w:proofErr w:type="spellEnd"/>
      <w:r w:rsidRPr="002C1A46">
        <w:rPr>
          <w:vertAlign w:val="subscript"/>
          <w:lang w:eastAsia="ja-JP"/>
        </w:rPr>
        <w:t>–O</w:t>
      </w:r>
      <w:r w:rsidRPr="002C1A46">
        <w:rPr>
          <w:lang w:eastAsia="ja-JP"/>
        </w:rPr>
        <w:t xml:space="preserve"> = 1.75 Å and </w:t>
      </w:r>
      <w:proofErr w:type="spellStart"/>
      <w:r w:rsidRPr="002C1A46">
        <w:rPr>
          <w:i/>
          <w:iCs/>
          <w:lang w:eastAsia="ja-JP"/>
        </w:rPr>
        <w:t>r</w:t>
      </w:r>
      <w:r w:rsidRPr="002C1A46">
        <w:rPr>
          <w:vertAlign w:val="subscript"/>
          <w:lang w:eastAsia="ja-JP"/>
        </w:rPr>
        <w:t>Si</w:t>
      </w:r>
      <w:r w:rsidRPr="002C1A46">
        <w:rPr>
          <w:vertAlign w:val="subscript"/>
          <w:lang w:eastAsia="ja-JP"/>
        </w:rPr>
        <w:softHyphen/>
      </w:r>
      <w:proofErr w:type="spellEnd"/>
      <w:r w:rsidRPr="002C1A46">
        <w:rPr>
          <w:vertAlign w:val="subscript"/>
          <w:lang w:eastAsia="ja-JP"/>
        </w:rPr>
        <w:t>–O</w:t>
      </w:r>
      <w:r w:rsidRPr="002C1A46">
        <w:rPr>
          <w:lang w:eastAsia="ja-JP"/>
        </w:rPr>
        <w:t xml:space="preserve"> = 1.90 Å.</w:t>
      </w:r>
      <w:r w:rsidR="005B06F8">
        <w:rPr>
          <w:lang w:eastAsia="ja-JP"/>
        </w:rPr>
        <w:t xml:space="preserve"> </w:t>
      </w:r>
      <w:r w:rsidRPr="002C1A46">
        <w:rPr>
          <w:lang w:eastAsia="ja-JP"/>
        </w:rPr>
        <w:t xml:space="preserve">The surface cavity analysis was performed using the </w:t>
      </w:r>
      <w:proofErr w:type="spellStart"/>
      <w:r w:rsidRPr="002C1A46">
        <w:rPr>
          <w:lang w:eastAsia="ja-JP"/>
        </w:rPr>
        <w:t>pyMolDyn</w:t>
      </w:r>
      <w:proofErr w:type="spellEnd"/>
      <w:r w:rsidRPr="002C1A46">
        <w:rPr>
          <w:lang w:eastAsia="ja-JP"/>
        </w:rPr>
        <w:t xml:space="preserve"> code</w:t>
      </w:r>
      <w:r w:rsidRPr="002C1A46">
        <w:rPr>
          <w:vertAlign w:val="superscript"/>
          <w:lang w:eastAsia="ja-JP"/>
        </w:rPr>
        <w:t>24</w:t>
      </w:r>
      <w:r w:rsidRPr="002C1A46">
        <w:rPr>
          <w:lang w:eastAsia="ja-JP"/>
        </w:rPr>
        <w:t xml:space="preserve"> with a cutoff distance </w:t>
      </w:r>
      <w:proofErr w:type="spellStart"/>
      <w:r w:rsidRPr="002C1A46">
        <w:rPr>
          <w:i/>
          <w:iCs/>
          <w:lang w:eastAsia="ja-JP"/>
        </w:rPr>
        <w:t>r</w:t>
      </w:r>
      <w:r w:rsidRPr="002C1A46">
        <w:rPr>
          <w:vertAlign w:val="subscript"/>
          <w:lang w:eastAsia="ja-JP"/>
        </w:rPr>
        <w:t>c</w:t>
      </w:r>
      <w:proofErr w:type="spellEnd"/>
      <w:r w:rsidRPr="002C1A46">
        <w:rPr>
          <w:lang w:eastAsia="ja-JP"/>
        </w:rPr>
        <w:t xml:space="preserve"> = 2.50 Å, as used in previous studies.</w:t>
      </w:r>
      <w:r w:rsidR="00D274BD" w:rsidRPr="002C1A46">
        <w:rPr>
          <w:vertAlign w:val="superscript"/>
          <w:lang w:eastAsia="ja-JP"/>
        </w:rPr>
        <w:t>2</w:t>
      </w:r>
      <w:r w:rsidR="00A969AD" w:rsidRPr="002C1A46">
        <w:rPr>
          <w:vertAlign w:val="superscript"/>
          <w:lang w:eastAsia="ja-JP"/>
        </w:rPr>
        <w:t>6</w:t>
      </w:r>
      <w:r w:rsidRPr="002C1A46">
        <w:rPr>
          <w:vertAlign w:val="superscript"/>
          <w:lang w:eastAsia="ja-JP"/>
        </w:rPr>
        <w:t>,</w:t>
      </w:r>
      <w:r w:rsidR="00D274BD" w:rsidRPr="002C1A46">
        <w:rPr>
          <w:vertAlign w:val="superscript"/>
          <w:lang w:eastAsia="ja-JP"/>
        </w:rPr>
        <w:t>36</w:t>
      </w:r>
    </w:p>
    <w:p w14:paraId="601F01B6" w14:textId="09F816E2" w:rsidR="004265DC" w:rsidRPr="002C1A46" w:rsidRDefault="004265DC" w:rsidP="00C92B87">
      <w:pPr>
        <w:pStyle w:val="RSCB04AHeadingSection"/>
        <w:numPr>
          <w:ilvl w:val="0"/>
          <w:numId w:val="13"/>
        </w:numPr>
      </w:pPr>
      <w:r w:rsidRPr="002C1A46">
        <w:t>Results and discussion</w:t>
      </w:r>
    </w:p>
    <w:p w14:paraId="1A1AFE9D" w14:textId="0C5B80D0" w:rsidR="004265DC" w:rsidRPr="002C1A46" w:rsidRDefault="006B06B3" w:rsidP="004265DC">
      <w:pPr>
        <w:pStyle w:val="RSCB06BHeadingSub-Section"/>
      </w:pPr>
      <w:r w:rsidRPr="002C1A46">
        <w:t xml:space="preserve">3.1 </w:t>
      </w:r>
      <w:r w:rsidR="00481738" w:rsidRPr="002C1A46">
        <w:t>Total structure factors</w:t>
      </w:r>
    </w:p>
    <w:p w14:paraId="66837B3C" w14:textId="68E17558" w:rsidR="0013431E" w:rsidRPr="002C1A46" w:rsidRDefault="00481738" w:rsidP="00437BC5">
      <w:pPr>
        <w:pStyle w:val="RSCB02ArticleText"/>
        <w:spacing w:line="276" w:lineRule="auto"/>
        <w:rPr>
          <w:rFonts w:ascii="Times New Roman" w:hAnsi="Times New Roman"/>
        </w:rPr>
      </w:pPr>
      <w:r w:rsidRPr="002C1A46">
        <w:rPr>
          <w:rFonts w:ascii="Times New Roman" w:hAnsi="Times New Roman"/>
        </w:rPr>
        <w:t>Figure</w:t>
      </w:r>
      <w:r w:rsidR="00B70FCF">
        <w:rPr>
          <w:rFonts w:ascii="Times New Roman" w:hAnsi="Times New Roman"/>
        </w:rPr>
        <w:t>s</w:t>
      </w:r>
      <w:r w:rsidRPr="002C1A46">
        <w:rPr>
          <w:rFonts w:ascii="Times New Roman" w:hAnsi="Times New Roman"/>
        </w:rPr>
        <w:t xml:space="preserve"> 1(a) and (b) show the neutron and X-ray total structure factors,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for P</w:t>
      </w:r>
      <w:r w:rsidRPr="002C1A46">
        <w:rPr>
          <w:rFonts w:ascii="Times New Roman" w:hAnsi="Times New Roman"/>
          <w:vertAlign w:val="subscript"/>
        </w:rPr>
        <w:t>2</w:t>
      </w:r>
      <w:r w:rsidRPr="002C1A46">
        <w:rPr>
          <w:rFonts w:ascii="Times New Roman" w:hAnsi="Times New Roman"/>
        </w:rPr>
        <w:t>O</w:t>
      </w:r>
      <w:r w:rsidRPr="002C1A46">
        <w:rPr>
          <w:rFonts w:ascii="Times New Roman" w:hAnsi="Times New Roman"/>
          <w:vertAlign w:val="subscript"/>
        </w:rPr>
        <w:t>5</w:t>
      </w:r>
      <w:r w:rsidRPr="002C1A46">
        <w:rPr>
          <w:rFonts w:ascii="Times New Roman" w:hAnsi="Times New Roman"/>
        </w:rPr>
        <w:t xml:space="preserve"> glass, together with those calculated from the RMC–MD model. For comparison, experimental and calculated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for SiO</w:t>
      </w:r>
      <w:r w:rsidRPr="002C1A46">
        <w:rPr>
          <w:rFonts w:ascii="Times New Roman" w:hAnsi="Times New Roman"/>
          <w:vertAlign w:val="subscript"/>
        </w:rPr>
        <w:t>2</w:t>
      </w:r>
      <w:r w:rsidRPr="002C1A46">
        <w:rPr>
          <w:rFonts w:ascii="Times New Roman" w:hAnsi="Times New Roman"/>
        </w:rPr>
        <w:t xml:space="preserve"> glass are also shown. All calculated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data reproduce the experimental data well. The first sharp diffraction peak (FSDP),</w:t>
      </w:r>
      <w:r w:rsidR="00100447" w:rsidRPr="002C1A46">
        <w:rPr>
          <w:rFonts w:ascii="Times New Roman" w:hAnsi="Times New Roman"/>
          <w:vertAlign w:val="superscript"/>
        </w:rPr>
        <w:t>37–40</w:t>
      </w:r>
      <w:r w:rsidRPr="002C1A46">
        <w:rPr>
          <w:rFonts w:ascii="Times New Roman" w:hAnsi="Times New Roman"/>
        </w:rPr>
        <w:t xml:space="preserve"> which arises from periodic correlations between network cages in the corner-sharing SiO</w:t>
      </w:r>
      <w:r w:rsidRPr="002C1A46">
        <w:rPr>
          <w:rFonts w:ascii="Times New Roman" w:hAnsi="Times New Roman"/>
          <w:vertAlign w:val="subscript"/>
        </w:rPr>
        <w:t>4</w:t>
      </w:r>
      <w:r w:rsidRPr="002C1A46">
        <w:rPr>
          <w:rFonts w:ascii="Times New Roman" w:hAnsi="Times New Roman"/>
        </w:rPr>
        <w:t xml:space="preserve"> tetrahedral network,</w:t>
      </w:r>
      <w:r w:rsidR="00A41F5E" w:rsidRPr="002C1A46">
        <w:rPr>
          <w:rFonts w:ascii="Times New Roman" w:hAnsi="Times New Roman"/>
          <w:vertAlign w:val="superscript"/>
        </w:rPr>
        <w:t>41</w:t>
      </w:r>
      <w:r w:rsidRPr="002C1A46">
        <w:rPr>
          <w:rFonts w:ascii="Times New Roman" w:hAnsi="Times New Roman"/>
        </w:rPr>
        <w:t xml:space="preserve"> is observed at </w:t>
      </w:r>
      <w:r w:rsidRPr="002C1A46">
        <w:rPr>
          <w:rFonts w:ascii="Times New Roman" w:hAnsi="Times New Roman"/>
          <w:i/>
          <w:iCs/>
        </w:rPr>
        <w:t>Q</w:t>
      </w:r>
      <w:r w:rsidRPr="002C1A46">
        <w:rPr>
          <w:rFonts w:ascii="Times New Roman" w:hAnsi="Times New Roman"/>
        </w:rPr>
        <w:t xml:space="preserve"> = 1.5 Å</w:t>
      </w:r>
      <w:r w:rsidRPr="002C1A46">
        <w:rPr>
          <w:rFonts w:ascii="Times New Roman" w:hAnsi="Times New Roman"/>
          <w:vertAlign w:val="superscript"/>
        </w:rPr>
        <w:t>–1</w:t>
      </w:r>
      <w:r w:rsidRPr="002C1A46">
        <w:rPr>
          <w:rFonts w:ascii="Times New Roman" w:hAnsi="Times New Roman"/>
        </w:rPr>
        <w:t xml:space="preserve"> in both the neutron and X-ray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for SiO</w:t>
      </w:r>
      <w:r w:rsidRPr="002C1A46">
        <w:rPr>
          <w:rFonts w:ascii="Times New Roman" w:hAnsi="Times New Roman"/>
          <w:vertAlign w:val="subscript"/>
        </w:rPr>
        <w:t>2</w:t>
      </w:r>
      <w:r w:rsidRPr="002C1A46">
        <w:rPr>
          <w:rFonts w:ascii="Times New Roman" w:hAnsi="Times New Roman"/>
        </w:rPr>
        <w:t xml:space="preserve"> glass. The second principal peak (PP) is observed at </w:t>
      </w:r>
      <w:r w:rsidRPr="002C1A46">
        <w:rPr>
          <w:rFonts w:ascii="Times New Roman" w:hAnsi="Times New Roman"/>
          <w:i/>
          <w:iCs/>
        </w:rPr>
        <w:t>Q</w:t>
      </w:r>
      <w:r w:rsidRPr="002C1A46">
        <w:rPr>
          <w:rFonts w:ascii="Times New Roman" w:hAnsi="Times New Roman"/>
        </w:rPr>
        <w:t xml:space="preserve"> = 2.9 Å</w:t>
      </w:r>
      <w:r w:rsidRPr="002C1A46">
        <w:rPr>
          <w:rFonts w:ascii="Times New Roman" w:hAnsi="Times New Roman"/>
          <w:vertAlign w:val="superscript"/>
        </w:rPr>
        <w:t>–1</w:t>
      </w:r>
      <w:r w:rsidRPr="002C1A46">
        <w:rPr>
          <w:rFonts w:ascii="Times New Roman" w:hAnsi="Times New Roman"/>
        </w:rPr>
        <w:t xml:space="preserve"> only in the neutron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for SiO</w:t>
      </w:r>
      <w:r w:rsidRPr="002C1A46">
        <w:rPr>
          <w:rFonts w:ascii="Times New Roman" w:hAnsi="Times New Roman"/>
          <w:vertAlign w:val="subscript"/>
        </w:rPr>
        <w:t>2</w:t>
      </w:r>
      <w:r w:rsidRPr="002C1A46">
        <w:rPr>
          <w:rFonts w:ascii="Times New Roman" w:hAnsi="Times New Roman"/>
        </w:rPr>
        <w:t xml:space="preserve"> glass because it reflects the packing of oxygen atoms at the corners of SiO</w:t>
      </w:r>
      <w:r w:rsidRPr="002C1A46">
        <w:rPr>
          <w:rFonts w:ascii="Times New Roman" w:hAnsi="Times New Roman"/>
          <w:vertAlign w:val="subscript"/>
        </w:rPr>
        <w:t>4</w:t>
      </w:r>
      <w:r w:rsidRPr="002C1A46">
        <w:rPr>
          <w:rFonts w:ascii="Times New Roman" w:hAnsi="Times New Roman"/>
        </w:rPr>
        <w:t xml:space="preserve"> tetrahedra,</w:t>
      </w:r>
      <w:r w:rsidR="00A41F5E" w:rsidRPr="002C1A46">
        <w:rPr>
          <w:rFonts w:ascii="Times New Roman" w:hAnsi="Times New Roman"/>
          <w:vertAlign w:val="superscript"/>
        </w:rPr>
        <w:t>42</w:t>
      </w:r>
      <w:r w:rsidRPr="002C1A46">
        <w:rPr>
          <w:rFonts w:ascii="Times New Roman" w:hAnsi="Times New Roman"/>
          <w:vertAlign w:val="superscript"/>
        </w:rPr>
        <w:t>,</w:t>
      </w:r>
      <w:r w:rsidR="00A41F5E" w:rsidRPr="002C1A46">
        <w:rPr>
          <w:rFonts w:ascii="Times New Roman" w:hAnsi="Times New Roman"/>
          <w:vertAlign w:val="superscript"/>
        </w:rPr>
        <w:t>43</w:t>
      </w:r>
      <w:r w:rsidRPr="002C1A46">
        <w:rPr>
          <w:rFonts w:ascii="Times New Roman" w:hAnsi="Times New Roman"/>
        </w:rPr>
        <w:t xml:space="preserve"> to which neutrons are more sensitive. In contrast, P</w:t>
      </w:r>
      <w:r w:rsidRPr="002C1A46">
        <w:rPr>
          <w:rFonts w:ascii="Times New Roman" w:hAnsi="Times New Roman"/>
          <w:vertAlign w:val="subscript"/>
        </w:rPr>
        <w:t>2</w:t>
      </w:r>
      <w:r w:rsidRPr="002C1A46">
        <w:rPr>
          <w:rFonts w:ascii="Times New Roman" w:hAnsi="Times New Roman"/>
        </w:rPr>
        <w:t>O</w:t>
      </w:r>
      <w:r w:rsidRPr="002C1A46">
        <w:rPr>
          <w:rFonts w:ascii="Times New Roman" w:hAnsi="Times New Roman"/>
          <w:vertAlign w:val="subscript"/>
        </w:rPr>
        <w:t>5</w:t>
      </w:r>
      <w:r w:rsidRPr="002C1A46">
        <w:rPr>
          <w:rFonts w:ascii="Times New Roman" w:hAnsi="Times New Roman"/>
        </w:rPr>
        <w:t xml:space="preserve"> glass exhibits characteristic diffraction peaks in the low-</w:t>
      </w:r>
      <w:r w:rsidRPr="002C1A46">
        <w:rPr>
          <w:rFonts w:ascii="Times New Roman" w:hAnsi="Times New Roman"/>
          <w:i/>
          <w:iCs/>
        </w:rPr>
        <w:t>Q</w:t>
      </w:r>
      <w:r w:rsidRPr="002C1A46">
        <w:rPr>
          <w:rFonts w:ascii="Times New Roman" w:hAnsi="Times New Roman"/>
        </w:rPr>
        <w:t xml:space="preserve"> region, with three distinct diffraction peaks in the neutron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xml:space="preserve">) and two peaks in the X-ray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The two low-</w:t>
      </w:r>
      <w:r w:rsidRPr="002C1A46">
        <w:rPr>
          <w:rFonts w:ascii="Times New Roman" w:hAnsi="Times New Roman"/>
          <w:i/>
          <w:iCs/>
        </w:rPr>
        <w:t>Q</w:t>
      </w:r>
      <w:r w:rsidRPr="002C1A46">
        <w:rPr>
          <w:rFonts w:ascii="Times New Roman" w:hAnsi="Times New Roman"/>
        </w:rPr>
        <w:t xml:space="preserve"> peaks in the neutron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xml:space="preserve">) correspond to the two peaks in the X-ray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xml:space="preserve">) at </w:t>
      </w:r>
      <w:r w:rsidRPr="002C1A46">
        <w:rPr>
          <w:rFonts w:ascii="Times New Roman" w:hAnsi="Times New Roman"/>
          <w:i/>
          <w:iCs/>
        </w:rPr>
        <w:t>Q</w:t>
      </w:r>
      <w:r w:rsidRPr="002C1A46">
        <w:rPr>
          <w:rFonts w:ascii="Times New Roman" w:hAnsi="Times New Roman"/>
        </w:rPr>
        <w:t xml:space="preserve"> = 1.3 Å</w:t>
      </w:r>
      <w:r w:rsidRPr="002C1A46">
        <w:rPr>
          <w:rFonts w:ascii="Times New Roman" w:hAnsi="Times New Roman"/>
          <w:vertAlign w:val="superscript"/>
        </w:rPr>
        <w:t>–1</w:t>
      </w:r>
      <w:r w:rsidRPr="002C1A46">
        <w:rPr>
          <w:rFonts w:ascii="Times New Roman" w:hAnsi="Times New Roman"/>
        </w:rPr>
        <w:t xml:space="preserve"> and 2.1 Å</w:t>
      </w:r>
      <w:r w:rsidRPr="002C1A46">
        <w:rPr>
          <w:rFonts w:ascii="Times New Roman" w:hAnsi="Times New Roman"/>
          <w:vertAlign w:val="superscript"/>
        </w:rPr>
        <w:t>–1</w:t>
      </w:r>
      <w:r w:rsidRPr="002C1A46">
        <w:rPr>
          <w:rFonts w:ascii="Times New Roman" w:hAnsi="Times New Roman"/>
        </w:rPr>
        <w:t>, respectively, and are located on the lower- and higher-</w:t>
      </w:r>
      <w:r w:rsidRPr="002C1A46">
        <w:rPr>
          <w:rFonts w:ascii="Times New Roman" w:hAnsi="Times New Roman"/>
          <w:i/>
          <w:iCs/>
        </w:rPr>
        <w:t>Q</w:t>
      </w:r>
      <w:r w:rsidRPr="002C1A46">
        <w:rPr>
          <w:rFonts w:ascii="Times New Roman" w:hAnsi="Times New Roman"/>
        </w:rPr>
        <w:t xml:space="preserve"> sides of the FSDP of SiO</w:t>
      </w:r>
      <w:r w:rsidRPr="002C1A46">
        <w:rPr>
          <w:rFonts w:ascii="Times New Roman" w:hAnsi="Times New Roman"/>
          <w:vertAlign w:val="subscript"/>
        </w:rPr>
        <w:t>2</w:t>
      </w:r>
      <w:r w:rsidRPr="002C1A46">
        <w:rPr>
          <w:rFonts w:ascii="Times New Roman" w:hAnsi="Times New Roman"/>
        </w:rPr>
        <w:t xml:space="preserve"> glass. In contrast, the third peak in the neutron </w:t>
      </w:r>
      <w:r w:rsidRPr="002C1A46">
        <w:rPr>
          <w:rFonts w:ascii="Times New Roman" w:hAnsi="Times New Roman"/>
          <w:i/>
          <w:iCs/>
        </w:rPr>
        <w:t>S</w:t>
      </w:r>
      <w:r w:rsidRPr="002C1A46">
        <w:rPr>
          <w:rFonts w:ascii="Times New Roman" w:hAnsi="Times New Roman"/>
        </w:rPr>
        <w:t>(</w:t>
      </w:r>
      <w:r w:rsidRPr="002C1A46">
        <w:rPr>
          <w:rFonts w:ascii="Times New Roman" w:hAnsi="Times New Roman"/>
          <w:i/>
          <w:iCs/>
        </w:rPr>
        <w:t>Q</w:t>
      </w:r>
      <w:r w:rsidRPr="002C1A46">
        <w:rPr>
          <w:rFonts w:ascii="Times New Roman" w:hAnsi="Times New Roman"/>
        </w:rPr>
        <w:t xml:space="preserve">), observed at </w:t>
      </w:r>
      <w:r w:rsidRPr="002C1A46">
        <w:rPr>
          <w:rFonts w:ascii="Times New Roman" w:hAnsi="Times New Roman"/>
          <w:i/>
          <w:iCs/>
        </w:rPr>
        <w:t>Q</w:t>
      </w:r>
      <w:r w:rsidRPr="002C1A46">
        <w:rPr>
          <w:rFonts w:ascii="Times New Roman" w:hAnsi="Times New Roman"/>
        </w:rPr>
        <w:t xml:space="preserve"> = 2.9 Å</w:t>
      </w:r>
      <w:r w:rsidRPr="002C1A46">
        <w:rPr>
          <w:rFonts w:ascii="Times New Roman" w:hAnsi="Times New Roman"/>
          <w:vertAlign w:val="superscript"/>
        </w:rPr>
        <w:t>–1</w:t>
      </w:r>
      <w:r w:rsidRPr="002C1A46">
        <w:rPr>
          <w:rFonts w:ascii="Times New Roman" w:hAnsi="Times New Roman"/>
        </w:rPr>
        <w:t>, is positioned close to the PP of SiO</w:t>
      </w:r>
      <w:r w:rsidRPr="002C1A46">
        <w:rPr>
          <w:rFonts w:ascii="Times New Roman" w:hAnsi="Times New Roman"/>
          <w:vertAlign w:val="subscript"/>
        </w:rPr>
        <w:t>2</w:t>
      </w:r>
      <w:r w:rsidRPr="002C1A46">
        <w:rPr>
          <w:rFonts w:ascii="Times New Roman" w:hAnsi="Times New Roman"/>
        </w:rPr>
        <w:t xml:space="preserve"> glass. These results indicate that P</w:t>
      </w:r>
      <w:r w:rsidRPr="002C1A46">
        <w:rPr>
          <w:rFonts w:ascii="Times New Roman" w:hAnsi="Times New Roman"/>
          <w:vertAlign w:val="subscript"/>
        </w:rPr>
        <w:t>2</w:t>
      </w:r>
      <w:r w:rsidRPr="002C1A46">
        <w:rPr>
          <w:rFonts w:ascii="Times New Roman" w:hAnsi="Times New Roman"/>
        </w:rPr>
        <w:t>O</w:t>
      </w:r>
      <w:r w:rsidRPr="002C1A46">
        <w:rPr>
          <w:rFonts w:ascii="Times New Roman" w:hAnsi="Times New Roman"/>
          <w:vertAlign w:val="subscript"/>
        </w:rPr>
        <w:t>5</w:t>
      </w:r>
      <w:r w:rsidRPr="002C1A46">
        <w:rPr>
          <w:rFonts w:ascii="Times New Roman" w:hAnsi="Times New Roman"/>
        </w:rPr>
        <w:t xml:space="preserve"> glass exhibits a more complex intermediate-range structural signature, reflecting the presence of multiple structural orders with different length scales compared with SiO</w:t>
      </w:r>
      <w:r w:rsidRPr="002C1A46">
        <w:rPr>
          <w:rFonts w:ascii="Times New Roman" w:hAnsi="Times New Roman"/>
          <w:vertAlign w:val="subscript"/>
        </w:rPr>
        <w:t>2</w:t>
      </w:r>
      <w:r w:rsidRPr="002C1A46">
        <w:rPr>
          <w:rFonts w:ascii="Times New Roman" w:hAnsi="Times New Roman"/>
        </w:rPr>
        <w:t xml:space="preserve"> glass. To elucidate the atomic correlations underlying each diffraction peak, the partial structure factors calculated from the RMC–MD model were analysed.</w:t>
      </w:r>
    </w:p>
    <w:p w14:paraId="274E7F56" w14:textId="32F39237" w:rsidR="006B06B3" w:rsidRPr="002C1A46" w:rsidRDefault="006B06B3" w:rsidP="00437BC5">
      <w:pPr>
        <w:pStyle w:val="RSCB02ArticleText"/>
        <w:spacing w:line="276" w:lineRule="auto"/>
        <w:rPr>
          <w:rStyle w:val="06CHeading"/>
          <w:b w:val="0"/>
          <w:smallCaps w:val="0"/>
        </w:rPr>
      </w:pPr>
    </w:p>
    <w:p w14:paraId="60950F8F" w14:textId="4CAE24FD" w:rsidR="006B06B3" w:rsidRPr="002C1A46" w:rsidRDefault="006B06B3" w:rsidP="006B06B3">
      <w:pPr>
        <w:pStyle w:val="RSCB06BHeadingSub-Section"/>
      </w:pPr>
      <w:r w:rsidRPr="002C1A46">
        <w:t xml:space="preserve">3.2 </w:t>
      </w:r>
      <w:r w:rsidR="00481738" w:rsidRPr="002C1A46">
        <w:t>Partial structure factors</w:t>
      </w:r>
    </w:p>
    <w:p w14:paraId="0720A0A4" w14:textId="399536CF" w:rsidR="007A7FDD" w:rsidRPr="002C1A46" w:rsidRDefault="00481738" w:rsidP="00481738">
      <w:pPr>
        <w:pStyle w:val="08ArticleText"/>
        <w:spacing w:line="276" w:lineRule="auto"/>
      </w:pPr>
      <w:r w:rsidRPr="002C1A46">
        <w:t xml:space="preserve">Figure 2(a) compares the FZ partial structure factors, </w:t>
      </w:r>
      <w:r w:rsidRPr="002C1A46">
        <w:rPr>
          <w:i/>
          <w:iCs/>
        </w:rPr>
        <w:t>S</w:t>
      </w:r>
      <w:r w:rsidRPr="002C1A46">
        <w:rPr>
          <w:i/>
          <w:iCs/>
          <w:vertAlign w:val="subscript"/>
        </w:rPr>
        <w:t>αβ</w:t>
      </w:r>
      <w:r w:rsidRPr="002C1A46">
        <w:t>(</w:t>
      </w:r>
      <w:r w:rsidRPr="002C1A46">
        <w:rPr>
          <w:i/>
          <w:iCs/>
        </w:rPr>
        <w:t>Q</w:t>
      </w:r>
      <w:r w:rsidRPr="002C1A46">
        <w:t>), between P</w:t>
      </w:r>
      <w:r w:rsidRPr="002C1A46">
        <w:rPr>
          <w:vertAlign w:val="subscript"/>
        </w:rPr>
        <w:t>2</w:t>
      </w:r>
      <w:r w:rsidRPr="002C1A46">
        <w:t>O</w:t>
      </w:r>
      <w:r w:rsidRPr="002C1A46">
        <w:rPr>
          <w:vertAlign w:val="subscript"/>
        </w:rPr>
        <w:t>5</w:t>
      </w:r>
      <w:r w:rsidRPr="002C1A46">
        <w:t xml:space="preserve"> and SiO</w:t>
      </w:r>
      <w:r w:rsidRPr="002C1A46">
        <w:rPr>
          <w:vertAlign w:val="subscript"/>
        </w:rPr>
        <w:t>2</w:t>
      </w:r>
      <w:r w:rsidRPr="002C1A46">
        <w:t xml:space="preserve"> glasses. Note that the magnitude of the scattering vector, </w:t>
      </w:r>
      <w:r w:rsidRPr="002C1A46">
        <w:rPr>
          <w:i/>
          <w:iCs/>
        </w:rPr>
        <w:t>Q</w:t>
      </w:r>
      <w:r w:rsidRPr="002C1A46">
        <w:t xml:space="preserve">, is scaled by multiplying it by </w:t>
      </w:r>
      <w:proofErr w:type="spellStart"/>
      <w:r w:rsidRPr="002C1A46">
        <w:rPr>
          <w:i/>
          <w:iCs/>
        </w:rPr>
        <w:t>r</w:t>
      </w:r>
      <w:r w:rsidRPr="002C1A46">
        <w:rPr>
          <w:vertAlign w:val="subscript"/>
        </w:rPr>
        <w:t>A</w:t>
      </w:r>
      <w:proofErr w:type="spellEnd"/>
      <w:r w:rsidRPr="002C1A46">
        <w:rPr>
          <w:vertAlign w:val="subscript"/>
        </w:rPr>
        <w:t>–X</w:t>
      </w:r>
      <w:r w:rsidRPr="002C1A46">
        <w:t xml:space="preserve"> (first coordination distance) obtained by a Fourier transform of </w:t>
      </w:r>
      <w:r w:rsidRPr="002C1A46">
        <w:rPr>
          <w:i/>
          <w:iCs/>
        </w:rPr>
        <w:t>S</w:t>
      </w:r>
      <w:r w:rsidRPr="002C1A46">
        <w:t>(</w:t>
      </w:r>
      <w:r w:rsidRPr="002C1A46">
        <w:rPr>
          <w:i/>
          <w:iCs/>
        </w:rPr>
        <w:t>Q</w:t>
      </w:r>
      <w:r w:rsidRPr="002C1A46">
        <w:t>) to eliminate differences in atomic size. In SiO</w:t>
      </w:r>
      <w:r w:rsidRPr="002C1A46">
        <w:rPr>
          <w:vertAlign w:val="subscript"/>
        </w:rPr>
        <w:t>2</w:t>
      </w:r>
      <w:r w:rsidRPr="002C1A46">
        <w:t xml:space="preserve"> glass, all </w:t>
      </w:r>
      <w:r w:rsidRPr="002C1A46">
        <w:rPr>
          <w:i/>
          <w:iCs/>
        </w:rPr>
        <w:t>S</w:t>
      </w:r>
      <w:r w:rsidRPr="002C1A46">
        <w:rPr>
          <w:i/>
          <w:iCs/>
          <w:vertAlign w:val="subscript"/>
        </w:rPr>
        <w:t>αβ</w:t>
      </w:r>
      <w:r w:rsidRPr="002C1A46">
        <w:t>(</w:t>
      </w:r>
      <w:r w:rsidRPr="002C1A46">
        <w:rPr>
          <w:i/>
          <w:iCs/>
        </w:rPr>
        <w:t>Q</w:t>
      </w:r>
      <w:r w:rsidRPr="002C1A46">
        <w:t>) exhibit a positive peak at the FSDP position (</w:t>
      </w:r>
      <w:r w:rsidRPr="002C1A46">
        <w:rPr>
          <w:i/>
          <w:iCs/>
        </w:rPr>
        <w:t>Qr</w:t>
      </w:r>
      <w:r w:rsidRPr="002C1A46">
        <w:rPr>
          <w:vertAlign w:val="subscript"/>
        </w:rPr>
        <w:t>A–X</w:t>
      </w:r>
      <w:r w:rsidRPr="002C1A46">
        <w:t xml:space="preserve"> = 2.5), while at the PP position (</w:t>
      </w:r>
      <w:r w:rsidRPr="002C1A46">
        <w:rPr>
          <w:i/>
          <w:iCs/>
        </w:rPr>
        <w:t>Qr</w:t>
      </w:r>
      <w:r w:rsidRPr="002C1A46">
        <w:rPr>
          <w:vertAlign w:val="subscript"/>
        </w:rPr>
        <w:t>A–X</w:t>
      </w:r>
      <w:r w:rsidRPr="002C1A46">
        <w:t xml:space="preserve"> = 4.7), positive Si–Si and O–O peaks overlap with a negative Si–O peak. In contrast, in P</w:t>
      </w:r>
      <w:r w:rsidRPr="002C1A46">
        <w:rPr>
          <w:vertAlign w:val="subscript"/>
        </w:rPr>
        <w:t>2</w:t>
      </w:r>
      <w:r w:rsidRPr="002C1A46">
        <w:t>O</w:t>
      </w:r>
      <w:r w:rsidRPr="002C1A46">
        <w:rPr>
          <w:vertAlign w:val="subscript"/>
        </w:rPr>
        <w:t>5</w:t>
      </w:r>
      <w:r w:rsidRPr="002C1A46">
        <w:t xml:space="preserve"> glass, the </w:t>
      </w:r>
      <w:r w:rsidR="005B06F8" w:rsidRPr="002C1A46">
        <w:rPr>
          <w:noProof/>
          <w:w w:val="100"/>
        </w:rPr>
        <w:lastRenderedPageBreak/>
        <mc:AlternateContent>
          <mc:Choice Requires="wps">
            <w:drawing>
              <wp:anchor distT="0" distB="0" distL="114300" distR="114300" simplePos="0" relativeHeight="251720704" behindDoc="0" locked="0" layoutInCell="1" allowOverlap="1" wp14:anchorId="7F991C5B" wp14:editId="102A327B">
                <wp:simplePos x="0" y="0"/>
                <wp:positionH relativeFrom="column">
                  <wp:posOffset>-15875</wp:posOffset>
                </wp:positionH>
                <wp:positionV relativeFrom="paragraph">
                  <wp:posOffset>0</wp:posOffset>
                </wp:positionV>
                <wp:extent cx="6484620" cy="3049905"/>
                <wp:effectExtent l="0" t="0" r="5080" b="0"/>
                <wp:wrapSquare wrapText="bothSides"/>
                <wp:docPr id="120504333"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484620" cy="3049905"/>
                        </a:xfrm>
                        <a:prstGeom prst="rect">
                          <a:avLst/>
                        </a:prstGeom>
                        <a:solidFill>
                          <a:srgbClr val="FFFFFF"/>
                        </a:solidFill>
                        <a:ln w="9525">
                          <a:noFill/>
                          <a:miter lim="800000"/>
                          <a:headEnd/>
                          <a:tailEnd/>
                        </a:ln>
                      </wps:spPr>
                      <wps:txbx>
                        <w:txbxContent>
                          <w:p w14:paraId="3338485C" w14:textId="613382E3" w:rsidR="00A07F46" w:rsidRDefault="004728F4" w:rsidP="00BB178C">
                            <w:pPr>
                              <w:pStyle w:val="RSCI05CaptiontoFigureSchemeChartwithbottombar"/>
                              <w:spacing w:after="0" w:line="360" w:lineRule="auto"/>
                              <w:jc w:val="center"/>
                              <w:rPr>
                                <w:spacing w:val="-2"/>
                                <w:sz w:val="18"/>
                                <w:lang w:val="en-US"/>
                              </w:rPr>
                            </w:pPr>
                            <w:r w:rsidRPr="004728F4">
                              <w:rPr>
                                <w:noProof/>
                                <w:spacing w:val="-2"/>
                                <w:sz w:val="18"/>
                                <w:lang w:val="en-US"/>
                              </w:rPr>
                              <w:drawing>
                                <wp:inline distT="0" distB="0" distL="0" distR="0" wp14:anchorId="413F6510" wp14:editId="383B42AB">
                                  <wp:extent cx="5052600" cy="2340000"/>
                                  <wp:effectExtent l="0" t="0" r="2540" b="0"/>
                                  <wp:docPr id="9061839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02485" name=""/>
                                          <pic:cNvPicPr/>
                                        </pic:nvPicPr>
                                        <pic:blipFill>
                                          <a:blip r:embed="rId14"/>
                                          <a:stretch>
                                            <a:fillRect/>
                                          </a:stretch>
                                        </pic:blipFill>
                                        <pic:spPr>
                                          <a:xfrm>
                                            <a:off x="0" y="0"/>
                                            <a:ext cx="5052600" cy="2340000"/>
                                          </a:xfrm>
                                          <a:prstGeom prst="rect">
                                            <a:avLst/>
                                          </a:prstGeom>
                                        </pic:spPr>
                                      </pic:pic>
                                    </a:graphicData>
                                  </a:graphic>
                                </wp:inline>
                              </w:drawing>
                            </w:r>
                          </w:p>
                          <w:p w14:paraId="6EEE9E52" w14:textId="77674868" w:rsidR="00A07F46" w:rsidRPr="00A07F46" w:rsidRDefault="00FE209F" w:rsidP="00FE209F">
                            <w:pPr>
                              <w:pStyle w:val="RSCI05CaptiontoFigureSchemeChartwithbottombar"/>
                              <w:snapToGrid w:val="0"/>
                              <w:spacing w:afterLines="1000" w:after="2400" w:line="240" w:lineRule="auto"/>
                              <w:rPr>
                                <w:spacing w:val="-2"/>
                                <w:sz w:val="18"/>
                                <w:lang w:val="en-US"/>
                              </w:rPr>
                            </w:pPr>
                            <w:r w:rsidRPr="00FE209F">
                              <w:rPr>
                                <w:spacing w:val="-2"/>
                                <w:sz w:val="18"/>
                                <w:lang w:val="en-US"/>
                              </w:rPr>
                              <w:t xml:space="preserve">Fig. 1 (a) Neutron and (b) X-ray total structure factors, </w:t>
                            </w:r>
                            <w:r w:rsidRPr="001229E8">
                              <w:rPr>
                                <w:i/>
                                <w:iCs/>
                                <w:spacing w:val="-2"/>
                                <w:sz w:val="18"/>
                                <w:lang w:val="en-US"/>
                              </w:rPr>
                              <w:t>S</w:t>
                            </w:r>
                            <w:r w:rsidRPr="00FE209F">
                              <w:rPr>
                                <w:spacing w:val="-2"/>
                                <w:sz w:val="18"/>
                                <w:lang w:val="en-US"/>
                              </w:rPr>
                              <w:t>(</w:t>
                            </w:r>
                            <w:r w:rsidRPr="001229E8">
                              <w:rPr>
                                <w:i/>
                                <w:iCs/>
                                <w:spacing w:val="-2"/>
                                <w:sz w:val="18"/>
                                <w:lang w:val="en-US"/>
                              </w:rPr>
                              <w:t>Q</w:t>
                            </w:r>
                            <w:r w:rsidRPr="00FE209F">
                              <w:rPr>
                                <w:spacing w:val="-2"/>
                                <w:sz w:val="18"/>
                                <w:lang w:val="en-US"/>
                              </w:rPr>
                              <w:t>), for P</w:t>
                            </w:r>
                            <w:r w:rsidRPr="001229E8">
                              <w:rPr>
                                <w:spacing w:val="-2"/>
                                <w:sz w:val="18"/>
                                <w:vertAlign w:val="subscript"/>
                                <w:lang w:val="en-US"/>
                              </w:rPr>
                              <w:t>2</w:t>
                            </w:r>
                            <w:r w:rsidRPr="00FE209F">
                              <w:rPr>
                                <w:spacing w:val="-2"/>
                                <w:sz w:val="18"/>
                                <w:lang w:val="en-US"/>
                              </w:rPr>
                              <w:t>O</w:t>
                            </w:r>
                            <w:r w:rsidRPr="001229E8">
                              <w:rPr>
                                <w:spacing w:val="-2"/>
                                <w:sz w:val="18"/>
                                <w:vertAlign w:val="subscript"/>
                                <w:lang w:val="en-US"/>
                              </w:rPr>
                              <w:t>5</w:t>
                            </w:r>
                            <w:r w:rsidRPr="001229E8">
                              <w:rPr>
                                <w:spacing w:val="-2"/>
                                <w:sz w:val="18"/>
                                <w:vertAlign w:val="superscript"/>
                                <w:lang w:val="en-US"/>
                              </w:rPr>
                              <w:t>14,16</w:t>
                            </w:r>
                            <w:r w:rsidRPr="00FE209F">
                              <w:rPr>
                                <w:spacing w:val="-2"/>
                                <w:sz w:val="18"/>
                                <w:lang w:val="en-US"/>
                              </w:rPr>
                              <w:t xml:space="preserve"> and SiO</w:t>
                            </w:r>
                            <w:r w:rsidRPr="001229E8">
                              <w:rPr>
                                <w:spacing w:val="-2"/>
                                <w:sz w:val="18"/>
                                <w:vertAlign w:val="subscript"/>
                                <w:lang w:val="en-US"/>
                              </w:rPr>
                              <w:t>2</w:t>
                            </w:r>
                            <w:r w:rsidRPr="001229E8">
                              <w:rPr>
                                <w:spacing w:val="-2"/>
                                <w:sz w:val="18"/>
                                <w:vertAlign w:val="superscript"/>
                                <w:lang w:val="en-US"/>
                              </w:rPr>
                              <w:t>26</w:t>
                            </w:r>
                            <w:r w:rsidRPr="00FE209F">
                              <w:rPr>
                                <w:spacing w:val="-2"/>
                                <w:sz w:val="18"/>
                                <w:lang w:val="en-US"/>
                              </w:rPr>
                              <w:t xml:space="preserve"> glasses. Black solid curves represent experimental data, and </w:t>
                            </w:r>
                            <w:proofErr w:type="spellStart"/>
                            <w:r w:rsidRPr="00FE209F">
                              <w:rPr>
                                <w:spacing w:val="-2"/>
                                <w:sz w:val="18"/>
                                <w:lang w:val="en-US"/>
                              </w:rPr>
                              <w:t>coloured</w:t>
                            </w:r>
                            <w:proofErr w:type="spellEnd"/>
                            <w:r w:rsidRPr="00FE209F">
                              <w:rPr>
                                <w:spacing w:val="-2"/>
                                <w:sz w:val="18"/>
                                <w:lang w:val="en-US"/>
                              </w:rPr>
                              <w:t xml:space="preserve"> solid curves represent the calculated data obtained from the RMC–MD models</w:t>
                            </w:r>
                            <w:r w:rsidRPr="00F772B6">
                              <w:rPr>
                                <w:spacing w:val="-2"/>
                                <w:sz w:val="18"/>
                                <w:lang w:val="en-US"/>
                              </w:rPr>
                              <w:t>, and the thin solid curves plotted at the bottom of each dataset represent the differences between the experimental and calculated data.</w:t>
                            </w:r>
                          </w:p>
                        </w:txbxContent>
                      </wps:txbx>
                      <wps:bodyPr rot="0" vert="horz" wrap="square" lIns="0" tIns="36000" rIns="0" bIns="36000" anchor="b" anchorCtr="0">
                        <a:noAutofit/>
                      </wps:bodyPr>
                    </wps:wsp>
                  </a:graphicData>
                </a:graphic>
                <wp14:sizeRelV relativeFrom="margin">
                  <wp14:pctHeight>0</wp14:pctHeight>
                </wp14:sizeRelV>
              </wp:anchor>
            </w:drawing>
          </mc:Choice>
          <mc:Fallback>
            <w:pict>
              <v:shapetype w14:anchorId="7F991C5B" id="_x0000_t202" coordsize="21600,21600" o:spt="202" path="m,l,21600r21600,l21600,xe">
                <v:stroke joinstyle="miter"/>
                <v:path gradientshapeok="t" o:connecttype="rect"/>
              </v:shapetype>
              <v:shape id="_x0000_s1027" type="#_x0000_t202" style="position:absolute;left:0;text-align:left;margin-left:-1.25pt;margin-top:0;width:510.6pt;height:240.1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" stroked="f">
                <o:lock v:ext="edit" aspectratio="t"/>
                <v:textbox inset="0,1mm,0,1mm">
                  <w:txbxContent>
                    <w:p w14:paraId="3338485C" w14:textId="613382E3" w:rsidR="00A07F46" w:rsidRDefault="004728F4" w:rsidP="00BB178C">
                      <w:pPr>
                        <w:pStyle w:val="RSCI05CaptiontoFigureSchemeChartwithbottombar"/>
                        <w:spacing w:after="0" w:line="360" w:lineRule="auto"/>
                        <w:jc w:val="center"/>
                        <w:rPr>
                          <w:spacing w:val="-2"/>
                          <w:sz w:val="18"/>
                          <w:lang w:val="en-US"/>
                        </w:rPr>
                      </w:pPr>
                      <w:r w:rsidRPr="004728F4">
                        <w:rPr>
                          <w:noProof/>
                          <w:spacing w:val="-2"/>
                          <w:sz w:val="18"/>
                          <w:lang w:val="en-US"/>
                        </w:rPr>
                        <w:drawing>
                          <wp:inline distT="0" distB="0" distL="0" distR="0" wp14:anchorId="413F6510" wp14:editId="383B42AB">
                            <wp:extent cx="5052600" cy="2340000"/>
                            <wp:effectExtent l="0" t="0" r="2540" b="0"/>
                            <wp:docPr id="9061839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02485" name=""/>
                                    <pic:cNvPicPr/>
                                  </pic:nvPicPr>
                                  <pic:blipFill>
                                    <a:blip r:embed="rId15"/>
                                    <a:stretch>
                                      <a:fillRect/>
                                    </a:stretch>
                                  </pic:blipFill>
                                  <pic:spPr>
                                    <a:xfrm>
                                      <a:off x="0" y="0"/>
                                      <a:ext cx="5052600" cy="2340000"/>
                                    </a:xfrm>
                                    <a:prstGeom prst="rect">
                                      <a:avLst/>
                                    </a:prstGeom>
                                  </pic:spPr>
                                </pic:pic>
                              </a:graphicData>
                            </a:graphic>
                          </wp:inline>
                        </w:drawing>
                      </w:r>
                    </w:p>
                    <w:p w14:paraId="6EEE9E52" w14:textId="77674868" w:rsidR="00A07F46" w:rsidRPr="00A07F46" w:rsidRDefault="00FE209F" w:rsidP="00FE209F">
                      <w:pPr>
                        <w:pStyle w:val="RSCI05CaptiontoFigureSchemeChartwithbottombar"/>
                        <w:snapToGrid w:val="0"/>
                        <w:spacing w:afterLines="1000" w:after="2400" w:line="240" w:lineRule="auto"/>
                        <w:rPr>
                          <w:spacing w:val="-2"/>
                          <w:sz w:val="18"/>
                          <w:lang w:val="en-US"/>
                        </w:rPr>
                      </w:pPr>
                      <w:r w:rsidRPr="00FE209F">
                        <w:rPr>
                          <w:spacing w:val="-2"/>
                          <w:sz w:val="18"/>
                          <w:lang w:val="en-US"/>
                        </w:rPr>
                        <w:t xml:space="preserve">Fig. 1 (a) Neutron and (b) X-ray total structure factors, </w:t>
                      </w:r>
                      <w:r w:rsidRPr="001229E8">
                        <w:rPr>
                          <w:i/>
                          <w:iCs/>
                          <w:spacing w:val="-2"/>
                          <w:sz w:val="18"/>
                          <w:lang w:val="en-US"/>
                        </w:rPr>
                        <w:t>S</w:t>
                      </w:r>
                      <w:r w:rsidRPr="00FE209F">
                        <w:rPr>
                          <w:spacing w:val="-2"/>
                          <w:sz w:val="18"/>
                          <w:lang w:val="en-US"/>
                        </w:rPr>
                        <w:t>(</w:t>
                      </w:r>
                      <w:r w:rsidRPr="001229E8">
                        <w:rPr>
                          <w:i/>
                          <w:iCs/>
                          <w:spacing w:val="-2"/>
                          <w:sz w:val="18"/>
                          <w:lang w:val="en-US"/>
                        </w:rPr>
                        <w:t>Q</w:t>
                      </w:r>
                      <w:r w:rsidRPr="00FE209F">
                        <w:rPr>
                          <w:spacing w:val="-2"/>
                          <w:sz w:val="18"/>
                          <w:lang w:val="en-US"/>
                        </w:rPr>
                        <w:t>), for P</w:t>
                      </w:r>
                      <w:r w:rsidRPr="001229E8">
                        <w:rPr>
                          <w:spacing w:val="-2"/>
                          <w:sz w:val="18"/>
                          <w:vertAlign w:val="subscript"/>
                          <w:lang w:val="en-US"/>
                        </w:rPr>
                        <w:t>2</w:t>
                      </w:r>
                      <w:r w:rsidRPr="00FE209F">
                        <w:rPr>
                          <w:spacing w:val="-2"/>
                          <w:sz w:val="18"/>
                          <w:lang w:val="en-US"/>
                        </w:rPr>
                        <w:t>O</w:t>
                      </w:r>
                      <w:r w:rsidRPr="001229E8">
                        <w:rPr>
                          <w:spacing w:val="-2"/>
                          <w:sz w:val="18"/>
                          <w:vertAlign w:val="subscript"/>
                          <w:lang w:val="en-US"/>
                        </w:rPr>
                        <w:t>5</w:t>
                      </w:r>
                      <w:r w:rsidRPr="001229E8">
                        <w:rPr>
                          <w:spacing w:val="-2"/>
                          <w:sz w:val="18"/>
                          <w:vertAlign w:val="superscript"/>
                          <w:lang w:val="en-US"/>
                        </w:rPr>
                        <w:t>14,16</w:t>
                      </w:r>
                      <w:r w:rsidRPr="00FE209F">
                        <w:rPr>
                          <w:spacing w:val="-2"/>
                          <w:sz w:val="18"/>
                          <w:lang w:val="en-US"/>
                        </w:rPr>
                        <w:t xml:space="preserve"> and SiO</w:t>
                      </w:r>
                      <w:r w:rsidRPr="001229E8">
                        <w:rPr>
                          <w:spacing w:val="-2"/>
                          <w:sz w:val="18"/>
                          <w:vertAlign w:val="subscript"/>
                          <w:lang w:val="en-US"/>
                        </w:rPr>
                        <w:t>2</w:t>
                      </w:r>
                      <w:r w:rsidRPr="001229E8">
                        <w:rPr>
                          <w:spacing w:val="-2"/>
                          <w:sz w:val="18"/>
                          <w:vertAlign w:val="superscript"/>
                          <w:lang w:val="en-US"/>
                        </w:rPr>
                        <w:t>26</w:t>
                      </w:r>
                      <w:r w:rsidRPr="00FE209F">
                        <w:rPr>
                          <w:spacing w:val="-2"/>
                          <w:sz w:val="18"/>
                          <w:lang w:val="en-US"/>
                        </w:rPr>
                        <w:t xml:space="preserve"> glasses. Black solid curves represent experimental data, and </w:t>
                      </w:r>
                      <w:proofErr w:type="spellStart"/>
                      <w:r w:rsidRPr="00FE209F">
                        <w:rPr>
                          <w:spacing w:val="-2"/>
                          <w:sz w:val="18"/>
                          <w:lang w:val="en-US"/>
                        </w:rPr>
                        <w:t>coloured</w:t>
                      </w:r>
                      <w:proofErr w:type="spellEnd"/>
                      <w:r w:rsidRPr="00FE209F">
                        <w:rPr>
                          <w:spacing w:val="-2"/>
                          <w:sz w:val="18"/>
                          <w:lang w:val="en-US"/>
                        </w:rPr>
                        <w:t xml:space="preserve"> solid curves represent the calculated data obtained from the RMC–MD models</w:t>
                      </w:r>
                      <w:r w:rsidRPr="00F772B6">
                        <w:rPr>
                          <w:spacing w:val="-2"/>
                          <w:sz w:val="18"/>
                          <w:lang w:val="en-US"/>
                        </w:rPr>
                        <w:t>, and the thin solid curves plotted at the bottom of each dataset represent the differences between the experimental and calculated data.</w:t>
                      </w:r>
                    </w:p>
                  </w:txbxContent>
                </v:textbox>
                <w10:wrap type="square"/>
              </v:shape>
            </w:pict>
          </mc:Fallback>
        </mc:AlternateContent>
      </w:r>
      <w:r w:rsidRPr="002C1A46">
        <w:t>positive peaks of P–P, P–O, and O–O at the two low-</w:t>
      </w:r>
      <w:r w:rsidRPr="002C1A46">
        <w:rPr>
          <w:i/>
          <w:iCs/>
        </w:rPr>
        <w:t>Q</w:t>
      </w:r>
      <w:r w:rsidRPr="002C1A46">
        <w:t xml:space="preserve"> peak positions (</w:t>
      </w:r>
      <w:r w:rsidRPr="002C1A46">
        <w:rPr>
          <w:i/>
          <w:iCs/>
        </w:rPr>
        <w:t>Qr</w:t>
      </w:r>
      <w:r w:rsidRPr="002C1A46">
        <w:rPr>
          <w:vertAlign w:val="subscript"/>
        </w:rPr>
        <w:t>A–X</w:t>
      </w:r>
      <w:r w:rsidRPr="002C1A46">
        <w:t xml:space="preserve"> = 2.0 and 3.2) are less clearly observed. At the third peak position (</w:t>
      </w:r>
      <w:r w:rsidRPr="002C1A46">
        <w:rPr>
          <w:i/>
          <w:iCs/>
        </w:rPr>
        <w:t>Qr</w:t>
      </w:r>
      <w:r w:rsidRPr="002C1A46">
        <w:rPr>
          <w:vertAlign w:val="subscript"/>
        </w:rPr>
        <w:t>A–X</w:t>
      </w:r>
      <w:r w:rsidRPr="002C1A46">
        <w:t xml:space="preserve"> = 4.5) in the neutron </w:t>
      </w:r>
      <w:r w:rsidRPr="002C1A46">
        <w:rPr>
          <w:i/>
          <w:iCs/>
        </w:rPr>
        <w:t>S</w:t>
      </w:r>
      <w:r w:rsidRPr="002C1A46">
        <w:t>(</w:t>
      </w:r>
      <w:r w:rsidRPr="002C1A46">
        <w:rPr>
          <w:i/>
          <w:iCs/>
        </w:rPr>
        <w:t>Q</w:t>
      </w:r>
      <w:r w:rsidRPr="002C1A46">
        <w:t>), although the peaks are broadened, positive P–P and O–O peaks overlap with a negative P–O peak.</w:t>
      </w:r>
    </w:p>
    <w:p w14:paraId="6356B7D3" w14:textId="0560138F" w:rsidR="00481738" w:rsidRPr="002C1A46" w:rsidRDefault="004838AD" w:rsidP="00481738">
      <w:pPr>
        <w:pStyle w:val="08ArticleText"/>
        <w:spacing w:line="276" w:lineRule="auto"/>
        <w:ind w:firstLineChars="150" w:firstLine="270"/>
      </w:pPr>
      <w:r w:rsidRPr="002C1A46">
        <w:rPr>
          <w:noProof/>
          <w:w w:val="100"/>
        </w:rPr>
        <mc:AlternateContent>
          <mc:Choice Requires="wps">
            <w:drawing>
              <wp:anchor distT="0" distB="0" distL="114300" distR="114300" simplePos="0" relativeHeight="251701248" behindDoc="0" locked="0" layoutInCell="1" allowOverlap="1" wp14:anchorId="5A3CAC0A" wp14:editId="19C9C68E">
                <wp:simplePos x="0" y="0"/>
                <wp:positionH relativeFrom="column">
                  <wp:posOffset>-15875</wp:posOffset>
                </wp:positionH>
                <wp:positionV relativeFrom="paragraph">
                  <wp:posOffset>1887855</wp:posOffset>
                </wp:positionV>
                <wp:extent cx="6484620" cy="3027680"/>
                <wp:effectExtent l="0" t="0" r="5080" b="0"/>
                <wp:wrapSquare wrapText="bothSides"/>
                <wp:docPr id="1172914863"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484620" cy="3027680"/>
                        </a:xfrm>
                        <a:prstGeom prst="rect">
                          <a:avLst/>
                        </a:prstGeom>
                        <a:noFill/>
                        <a:ln w="9525">
                          <a:noFill/>
                          <a:miter lim="800000"/>
                          <a:headEnd/>
                          <a:tailEnd/>
                        </a:ln>
                      </wps:spPr>
                      <wps:txbx>
                        <w:txbxContent>
                          <w:p w14:paraId="5FD7ACF8" w14:textId="33A7193D" w:rsidR="005A3E7F" w:rsidRDefault="004838AD" w:rsidP="001F2BD1">
                            <w:pPr>
                              <w:pStyle w:val="RSCI02FigureSchemeChartwithtopbar"/>
                              <w:jc w:val="center"/>
                              <w:rPr>
                                <w:lang w:val="en-US" w:eastAsia="ja-JP"/>
                              </w:rPr>
                            </w:pPr>
                            <w:r w:rsidRPr="004838AD">
                              <w:rPr>
                                <w:noProof/>
                                <w:lang w:val="en-US" w:eastAsia="ja-JP"/>
                              </w:rPr>
                              <w:drawing>
                                <wp:inline distT="0" distB="0" distL="0" distR="0" wp14:anchorId="6FF2D692" wp14:editId="1F7072E2">
                                  <wp:extent cx="5090400" cy="2304000"/>
                                  <wp:effectExtent l="0" t="0" r="2540" b="0"/>
                                  <wp:docPr id="7612516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30457" name=""/>
                                          <pic:cNvPicPr/>
                                        </pic:nvPicPr>
                                        <pic:blipFill>
                                          <a:blip r:embed="rId16"/>
                                          <a:stretch>
                                            <a:fillRect/>
                                          </a:stretch>
                                        </pic:blipFill>
                                        <pic:spPr>
                                          <a:xfrm>
                                            <a:off x="0" y="0"/>
                                            <a:ext cx="5090400" cy="2304000"/>
                                          </a:xfrm>
                                          <a:prstGeom prst="rect">
                                            <a:avLst/>
                                          </a:prstGeom>
                                        </pic:spPr>
                                      </pic:pic>
                                    </a:graphicData>
                                  </a:graphic>
                                </wp:inline>
                              </w:drawing>
                            </w:r>
                          </w:p>
                          <w:p w14:paraId="033FC4E2" w14:textId="0D7F1FD2" w:rsidR="005A3E7F" w:rsidRPr="008B2839" w:rsidRDefault="00FE209F" w:rsidP="002C0119">
                            <w:pPr>
                              <w:pStyle w:val="RSCI02FigureSchemeChartwithtopbar"/>
                              <w:rPr>
                                <w:lang w:val="en-US"/>
                              </w:rPr>
                            </w:pPr>
                            <w:r w:rsidRPr="00FE209F">
                              <w:rPr>
                                <w:sz w:val="18"/>
                                <w:lang w:val="en-US"/>
                              </w:rPr>
                              <w:t xml:space="preserve">Fig. 2 (a) Faber–Ziman partial structure factors, </w:t>
                            </w:r>
                            <w:r w:rsidRPr="001229E8">
                              <w:rPr>
                                <w:i/>
                                <w:iCs/>
                                <w:sz w:val="18"/>
                                <w:lang w:val="en-US"/>
                              </w:rPr>
                              <w:t>S</w:t>
                            </w:r>
                            <w:r w:rsidRPr="007F680D">
                              <w:rPr>
                                <w:i/>
                                <w:iCs/>
                                <w:sz w:val="18"/>
                                <w:vertAlign w:val="subscript"/>
                                <w:lang w:val="en-US"/>
                              </w:rPr>
                              <w:t>αβ</w:t>
                            </w:r>
                            <w:r w:rsidRPr="00FE209F">
                              <w:rPr>
                                <w:sz w:val="18"/>
                                <w:lang w:val="en-US"/>
                              </w:rPr>
                              <w:t>(</w:t>
                            </w:r>
                            <w:r w:rsidRPr="001229E8">
                              <w:rPr>
                                <w:i/>
                                <w:iCs/>
                                <w:sz w:val="18"/>
                                <w:lang w:val="en-US"/>
                              </w:rPr>
                              <w:t>Q</w:t>
                            </w:r>
                            <w:r w:rsidRPr="00FE209F">
                              <w:rPr>
                                <w:sz w:val="18"/>
                                <w:lang w:val="en-US"/>
                              </w:rPr>
                              <w:t xml:space="preserve">), and (b) partial pair distribution functions, </w:t>
                            </w:r>
                            <w:r w:rsidRPr="001229E8">
                              <w:rPr>
                                <w:i/>
                                <w:iCs/>
                                <w:sz w:val="18"/>
                                <w:lang w:val="en-US"/>
                              </w:rPr>
                              <w:t>g</w:t>
                            </w:r>
                            <w:r w:rsidRPr="007F680D">
                              <w:rPr>
                                <w:i/>
                                <w:iCs/>
                                <w:sz w:val="18"/>
                                <w:vertAlign w:val="subscript"/>
                                <w:lang w:val="en-US"/>
                              </w:rPr>
                              <w:t>αβ</w:t>
                            </w:r>
                            <w:r w:rsidRPr="00FE209F">
                              <w:rPr>
                                <w:sz w:val="18"/>
                                <w:lang w:val="en-US"/>
                              </w:rPr>
                              <w:t>(</w:t>
                            </w:r>
                            <w:r w:rsidRPr="001229E8">
                              <w:rPr>
                                <w:i/>
                                <w:iCs/>
                                <w:sz w:val="18"/>
                                <w:lang w:val="en-US"/>
                              </w:rPr>
                              <w:t>r</w:t>
                            </w:r>
                            <w:r w:rsidRPr="00FE209F">
                              <w:rPr>
                                <w:sz w:val="18"/>
                                <w:lang w:val="en-US"/>
                              </w:rPr>
                              <w:t>), for P</w:t>
                            </w:r>
                            <w:r w:rsidRPr="001229E8">
                              <w:rPr>
                                <w:sz w:val="18"/>
                                <w:vertAlign w:val="subscript"/>
                                <w:lang w:val="en-US"/>
                              </w:rPr>
                              <w:t>2</w:t>
                            </w:r>
                            <w:r w:rsidRPr="00FE209F">
                              <w:rPr>
                                <w:sz w:val="18"/>
                                <w:lang w:val="en-US"/>
                              </w:rPr>
                              <w:t>O</w:t>
                            </w:r>
                            <w:r w:rsidRPr="001229E8">
                              <w:rPr>
                                <w:sz w:val="18"/>
                                <w:vertAlign w:val="subscript"/>
                                <w:lang w:val="en-US"/>
                              </w:rPr>
                              <w:t>5</w:t>
                            </w:r>
                            <w:r w:rsidRPr="00FE209F">
                              <w:rPr>
                                <w:sz w:val="18"/>
                                <w:lang w:val="en-US"/>
                              </w:rPr>
                              <w:t xml:space="preserve"> (red) and SiO</w:t>
                            </w:r>
                            <w:r w:rsidRPr="001229E8">
                              <w:rPr>
                                <w:sz w:val="18"/>
                                <w:vertAlign w:val="subscript"/>
                                <w:lang w:val="en-US"/>
                              </w:rPr>
                              <w:t>2</w:t>
                            </w:r>
                            <w:r w:rsidRPr="00FE209F">
                              <w:rPr>
                                <w:sz w:val="18"/>
                                <w:lang w:val="en-US"/>
                              </w:rPr>
                              <w:t xml:space="preserve"> (</w:t>
                            </w:r>
                            <w:r w:rsidRPr="00F772B6">
                              <w:rPr>
                                <w:sz w:val="18"/>
                                <w:lang w:val="en-US"/>
                              </w:rPr>
                              <w:t>blue</w:t>
                            </w:r>
                            <w:r w:rsidRPr="00FE209F">
                              <w:rPr>
                                <w:sz w:val="18"/>
                                <w:lang w:val="en-US"/>
                              </w:rPr>
                              <w:t xml:space="preserve">) glasses. The magnitude of the scattering vector, </w:t>
                            </w:r>
                            <w:r w:rsidRPr="001229E8">
                              <w:rPr>
                                <w:i/>
                                <w:iCs/>
                                <w:sz w:val="18"/>
                                <w:lang w:val="en-US"/>
                              </w:rPr>
                              <w:t>Q</w:t>
                            </w:r>
                            <w:r w:rsidRPr="00FE209F">
                              <w:rPr>
                                <w:sz w:val="18"/>
                                <w:lang w:val="en-US"/>
                              </w:rPr>
                              <w:t xml:space="preserve">, is scaled by multiplying it by </w:t>
                            </w:r>
                            <w:proofErr w:type="spellStart"/>
                            <w:r w:rsidRPr="001229E8">
                              <w:rPr>
                                <w:i/>
                                <w:iCs/>
                                <w:sz w:val="18"/>
                                <w:lang w:val="en-US"/>
                              </w:rPr>
                              <w:t>r</w:t>
                            </w:r>
                            <w:r w:rsidRPr="001229E8">
                              <w:rPr>
                                <w:sz w:val="18"/>
                                <w:vertAlign w:val="subscript"/>
                                <w:lang w:val="en-US"/>
                              </w:rPr>
                              <w:t>A</w:t>
                            </w:r>
                            <w:proofErr w:type="spellEnd"/>
                            <w:r w:rsidRPr="001229E8">
                              <w:rPr>
                                <w:sz w:val="18"/>
                                <w:vertAlign w:val="subscript"/>
                                <w:lang w:val="en-US"/>
                              </w:rPr>
                              <w:t>–X</w:t>
                            </w:r>
                            <w:r w:rsidRPr="00FE209F">
                              <w:rPr>
                                <w:sz w:val="18"/>
                                <w:lang w:val="en-US"/>
                              </w:rPr>
                              <w:t xml:space="preserve"> (the first coordination distance) in panel (a).</w:t>
                            </w:r>
                          </w:p>
                        </w:txbxContent>
                      </wps:txbx>
                      <wps:bodyPr rot="0" vert="horz" wrap="square" lIns="0" tIns="36000" rIns="0" bIns="36000" anchor="b" anchorCtr="0">
                        <a:noAutofit/>
                      </wps:bodyPr>
                    </wps:wsp>
                  </a:graphicData>
                </a:graphic>
                <wp14:sizeRelV relativeFrom="margin">
                  <wp14:pctHeight>0</wp14:pctHeight>
                </wp14:sizeRelV>
              </wp:anchor>
            </w:drawing>
          </mc:Choice>
          <mc:Fallback>
            <w:pict>
              <v:shapetype w14:anchorId="5A3CAC0A" id="_x0000_t202" coordsize="21600,21600" o:spt="202" path="m,l,21600r21600,l21600,xe">
                <v:stroke joinstyle="miter"/>
                <v:path gradientshapeok="t" o:connecttype="rect"/>
              </v:shapetype>
              <v:shape id="_x0000_s1028" type="#_x0000_t202" style="position:absolute;left:0;text-align:left;margin-left:-1.25pt;margin-top:148.65pt;width:510.6pt;height:238.4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" filled="f" stroked="f">
                <o:lock v:ext="edit" aspectratio="t"/>
                <v:textbox inset="0,1mm,0,1mm">
                  <w:txbxContent>
                    <w:p w14:paraId="5FD7ACF8" w14:textId="33A7193D" w:rsidR="005A3E7F" w:rsidRDefault="004838AD" w:rsidP="001F2BD1">
                      <w:pPr>
                        <w:pStyle w:val="RSCI02FigureSchemeChartwithtopbar"/>
                        <w:jc w:val="center"/>
                        <w:rPr>
                          <w:lang w:val="en-US" w:eastAsia="ja-JP"/>
                        </w:rPr>
                      </w:pPr>
                      <w:r w:rsidRPr="004838AD">
                        <w:rPr>
                          <w:noProof/>
                          <w:lang w:val="en-US" w:eastAsia="ja-JP"/>
                        </w:rPr>
                        <w:drawing>
                          <wp:inline distT="0" distB="0" distL="0" distR="0" wp14:anchorId="6FF2D692" wp14:editId="1F7072E2">
                            <wp:extent cx="5090400" cy="2304000"/>
                            <wp:effectExtent l="0" t="0" r="2540" b="0"/>
                            <wp:docPr id="7612516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30457" name=""/>
                                    <pic:cNvPicPr/>
                                  </pic:nvPicPr>
                                  <pic:blipFill>
                                    <a:blip r:embed="rId17"/>
                                    <a:stretch>
                                      <a:fillRect/>
                                    </a:stretch>
                                  </pic:blipFill>
                                  <pic:spPr>
                                    <a:xfrm>
                                      <a:off x="0" y="0"/>
                                      <a:ext cx="5090400" cy="2304000"/>
                                    </a:xfrm>
                                    <a:prstGeom prst="rect">
                                      <a:avLst/>
                                    </a:prstGeom>
                                  </pic:spPr>
                                </pic:pic>
                              </a:graphicData>
                            </a:graphic>
                          </wp:inline>
                        </w:drawing>
                      </w:r>
                    </w:p>
                    <w:p w14:paraId="033FC4E2" w14:textId="0D7F1FD2" w:rsidR="005A3E7F" w:rsidRPr="008B2839" w:rsidRDefault="00FE209F" w:rsidP="002C0119">
                      <w:pPr>
                        <w:pStyle w:val="RSCI02FigureSchemeChartwithtopbar"/>
                        <w:rPr>
                          <w:lang w:val="en-US"/>
                        </w:rPr>
                      </w:pPr>
                      <w:r w:rsidRPr="00FE209F">
                        <w:rPr>
                          <w:sz w:val="18"/>
                          <w:lang w:val="en-US"/>
                        </w:rPr>
                        <w:t xml:space="preserve">Fig. 2 (a) Faber–Ziman partial structure factors, </w:t>
                      </w:r>
                      <w:r w:rsidRPr="001229E8">
                        <w:rPr>
                          <w:i/>
                          <w:iCs/>
                          <w:sz w:val="18"/>
                          <w:lang w:val="en-US"/>
                        </w:rPr>
                        <w:t>S</w:t>
                      </w:r>
                      <w:r w:rsidRPr="007F680D">
                        <w:rPr>
                          <w:i/>
                          <w:iCs/>
                          <w:sz w:val="18"/>
                          <w:vertAlign w:val="subscript"/>
                          <w:lang w:val="en-US"/>
                        </w:rPr>
                        <w:t>αβ</w:t>
                      </w:r>
                      <w:r w:rsidRPr="00FE209F">
                        <w:rPr>
                          <w:sz w:val="18"/>
                          <w:lang w:val="en-US"/>
                        </w:rPr>
                        <w:t>(</w:t>
                      </w:r>
                      <w:r w:rsidRPr="001229E8">
                        <w:rPr>
                          <w:i/>
                          <w:iCs/>
                          <w:sz w:val="18"/>
                          <w:lang w:val="en-US"/>
                        </w:rPr>
                        <w:t>Q</w:t>
                      </w:r>
                      <w:r w:rsidRPr="00FE209F">
                        <w:rPr>
                          <w:sz w:val="18"/>
                          <w:lang w:val="en-US"/>
                        </w:rPr>
                        <w:t xml:space="preserve">), and (b) partial pair distribution functions, </w:t>
                      </w:r>
                      <w:r w:rsidRPr="001229E8">
                        <w:rPr>
                          <w:i/>
                          <w:iCs/>
                          <w:sz w:val="18"/>
                          <w:lang w:val="en-US"/>
                        </w:rPr>
                        <w:t>g</w:t>
                      </w:r>
                      <w:r w:rsidRPr="007F680D">
                        <w:rPr>
                          <w:i/>
                          <w:iCs/>
                          <w:sz w:val="18"/>
                          <w:vertAlign w:val="subscript"/>
                          <w:lang w:val="en-US"/>
                        </w:rPr>
                        <w:t>αβ</w:t>
                      </w:r>
                      <w:r w:rsidRPr="00FE209F">
                        <w:rPr>
                          <w:sz w:val="18"/>
                          <w:lang w:val="en-US"/>
                        </w:rPr>
                        <w:t>(</w:t>
                      </w:r>
                      <w:r w:rsidRPr="001229E8">
                        <w:rPr>
                          <w:i/>
                          <w:iCs/>
                          <w:sz w:val="18"/>
                          <w:lang w:val="en-US"/>
                        </w:rPr>
                        <w:t>r</w:t>
                      </w:r>
                      <w:r w:rsidRPr="00FE209F">
                        <w:rPr>
                          <w:sz w:val="18"/>
                          <w:lang w:val="en-US"/>
                        </w:rPr>
                        <w:t>), for P</w:t>
                      </w:r>
                      <w:r w:rsidRPr="001229E8">
                        <w:rPr>
                          <w:sz w:val="18"/>
                          <w:vertAlign w:val="subscript"/>
                          <w:lang w:val="en-US"/>
                        </w:rPr>
                        <w:t>2</w:t>
                      </w:r>
                      <w:r w:rsidRPr="00FE209F">
                        <w:rPr>
                          <w:sz w:val="18"/>
                          <w:lang w:val="en-US"/>
                        </w:rPr>
                        <w:t>O</w:t>
                      </w:r>
                      <w:r w:rsidRPr="001229E8">
                        <w:rPr>
                          <w:sz w:val="18"/>
                          <w:vertAlign w:val="subscript"/>
                          <w:lang w:val="en-US"/>
                        </w:rPr>
                        <w:t>5</w:t>
                      </w:r>
                      <w:r w:rsidRPr="00FE209F">
                        <w:rPr>
                          <w:sz w:val="18"/>
                          <w:lang w:val="en-US"/>
                        </w:rPr>
                        <w:t xml:space="preserve"> (red) and SiO</w:t>
                      </w:r>
                      <w:r w:rsidRPr="001229E8">
                        <w:rPr>
                          <w:sz w:val="18"/>
                          <w:vertAlign w:val="subscript"/>
                          <w:lang w:val="en-US"/>
                        </w:rPr>
                        <w:t>2</w:t>
                      </w:r>
                      <w:r w:rsidRPr="00FE209F">
                        <w:rPr>
                          <w:sz w:val="18"/>
                          <w:lang w:val="en-US"/>
                        </w:rPr>
                        <w:t xml:space="preserve"> (</w:t>
                      </w:r>
                      <w:r w:rsidRPr="00F772B6">
                        <w:rPr>
                          <w:sz w:val="18"/>
                          <w:lang w:val="en-US"/>
                        </w:rPr>
                        <w:t>blue</w:t>
                      </w:r>
                      <w:r w:rsidRPr="00FE209F">
                        <w:rPr>
                          <w:sz w:val="18"/>
                          <w:lang w:val="en-US"/>
                        </w:rPr>
                        <w:t xml:space="preserve">) glasses. The magnitude of the scattering vector, </w:t>
                      </w:r>
                      <w:r w:rsidRPr="001229E8">
                        <w:rPr>
                          <w:i/>
                          <w:iCs/>
                          <w:sz w:val="18"/>
                          <w:lang w:val="en-US"/>
                        </w:rPr>
                        <w:t>Q</w:t>
                      </w:r>
                      <w:r w:rsidRPr="00FE209F">
                        <w:rPr>
                          <w:sz w:val="18"/>
                          <w:lang w:val="en-US"/>
                        </w:rPr>
                        <w:t xml:space="preserve">, is scaled by multiplying it by </w:t>
                      </w:r>
                      <w:proofErr w:type="spellStart"/>
                      <w:r w:rsidRPr="001229E8">
                        <w:rPr>
                          <w:i/>
                          <w:iCs/>
                          <w:sz w:val="18"/>
                          <w:lang w:val="en-US"/>
                        </w:rPr>
                        <w:t>r</w:t>
                      </w:r>
                      <w:r w:rsidRPr="001229E8">
                        <w:rPr>
                          <w:sz w:val="18"/>
                          <w:vertAlign w:val="subscript"/>
                          <w:lang w:val="en-US"/>
                        </w:rPr>
                        <w:t>A</w:t>
                      </w:r>
                      <w:proofErr w:type="spellEnd"/>
                      <w:r w:rsidRPr="001229E8">
                        <w:rPr>
                          <w:sz w:val="18"/>
                          <w:vertAlign w:val="subscript"/>
                          <w:lang w:val="en-US"/>
                        </w:rPr>
                        <w:t>–X</w:t>
                      </w:r>
                      <w:r w:rsidRPr="00FE209F">
                        <w:rPr>
                          <w:sz w:val="18"/>
                          <w:lang w:val="en-US"/>
                        </w:rPr>
                        <w:t xml:space="preserve"> (the first coordination distance) in panel (a).</w:t>
                      </w:r>
                    </w:p>
                  </w:txbxContent>
                </v:textbox>
                <w10:wrap type="square"/>
              </v:shape>
            </w:pict>
          </mc:Fallback>
        </mc:AlternateContent>
      </w:r>
      <w:r w:rsidR="00481738" w:rsidRPr="002C1A46">
        <w:t xml:space="preserve">The partial pair distribution functions, </w:t>
      </w:r>
      <w:r w:rsidR="00481738" w:rsidRPr="002C1A46">
        <w:rPr>
          <w:i/>
          <w:iCs/>
        </w:rPr>
        <w:t>g</w:t>
      </w:r>
      <w:r w:rsidR="00481738" w:rsidRPr="002C1A46">
        <w:rPr>
          <w:i/>
          <w:iCs/>
          <w:vertAlign w:val="subscript"/>
        </w:rPr>
        <w:t>αβ</w:t>
      </w:r>
      <w:r w:rsidR="00481738" w:rsidRPr="002C1A46">
        <w:t>(</w:t>
      </w:r>
      <w:r w:rsidR="00481738" w:rsidRPr="002C1A46">
        <w:rPr>
          <w:i/>
          <w:iCs/>
        </w:rPr>
        <w:t>r</w:t>
      </w:r>
      <w:r w:rsidR="00481738" w:rsidRPr="002C1A46">
        <w:t>) (Fig. 2(b)), show very sharp P–O and Si–O peaks in both glasses; in particular, the P=O (NBO) bond at 1.42 Å and the P–O (BO) bond at 1.58 Å can be clearly distinguished in P</w:t>
      </w:r>
      <w:r w:rsidR="00481738" w:rsidRPr="002C1A46">
        <w:rPr>
          <w:vertAlign w:val="subscript"/>
        </w:rPr>
        <w:t>2</w:t>
      </w:r>
      <w:r w:rsidR="00481738" w:rsidRPr="002C1A46">
        <w:t>O</w:t>
      </w:r>
      <w:r w:rsidR="00481738" w:rsidRPr="002C1A46">
        <w:rPr>
          <w:vertAlign w:val="subscript"/>
        </w:rPr>
        <w:t>5</w:t>
      </w:r>
      <w:r w:rsidR="00481738" w:rsidRPr="002C1A46">
        <w:t xml:space="preserve"> glass. Table 1 summarizes the coordination-number distributions and polyhedral connections calculated from the RMC–MD model of P</w:t>
      </w:r>
      <w:r w:rsidR="00481738" w:rsidRPr="002C1A46">
        <w:rPr>
          <w:vertAlign w:val="subscript"/>
        </w:rPr>
        <w:t>2</w:t>
      </w:r>
      <w:r w:rsidR="00481738" w:rsidRPr="002C1A46">
        <w:t>O</w:t>
      </w:r>
      <w:r w:rsidR="00481738" w:rsidRPr="002C1A46">
        <w:rPr>
          <w:vertAlign w:val="subscript"/>
        </w:rPr>
        <w:t>5</w:t>
      </w:r>
      <w:r w:rsidR="00481738" w:rsidRPr="002C1A46">
        <w:t xml:space="preserve"> glass together with those for SiO</w:t>
      </w:r>
      <w:r w:rsidR="00481738" w:rsidRPr="002C1A46">
        <w:rPr>
          <w:vertAlign w:val="subscript"/>
        </w:rPr>
        <w:t>2</w:t>
      </w:r>
      <w:r w:rsidR="00481738" w:rsidRPr="002C1A46">
        <w:t xml:space="preserve"> glass. For both glasses, the coordination number of oxygen atoms around phosphorus or silicon atoms (</w:t>
      </w:r>
      <w:r w:rsidR="00481738" w:rsidRPr="002C1A46">
        <w:rPr>
          <w:i/>
          <w:iCs/>
        </w:rPr>
        <w:t>N</w:t>
      </w:r>
      <w:r w:rsidR="00481738" w:rsidRPr="002C1A46">
        <w:rPr>
          <w:vertAlign w:val="subscript"/>
        </w:rPr>
        <w:t>A–X</w:t>
      </w:r>
      <w:r w:rsidR="00481738" w:rsidRPr="002C1A46">
        <w:t>) is 4.0. In contrast, the coordination number of phosphorus or silicon atoms around oxygen atoms (</w:t>
      </w:r>
      <w:r w:rsidR="00481738" w:rsidRPr="002C1A46">
        <w:rPr>
          <w:i/>
          <w:iCs/>
        </w:rPr>
        <w:t>N</w:t>
      </w:r>
      <w:r w:rsidR="00481738" w:rsidRPr="002C1A46">
        <w:rPr>
          <w:vertAlign w:val="subscript"/>
        </w:rPr>
        <w:t>X–A</w:t>
      </w:r>
      <w:r w:rsidR="00481738" w:rsidRPr="002C1A46">
        <w:t xml:space="preserve">) is 1.6 for </w:t>
      </w:r>
      <w:bookmarkStart w:id="1" w:name="OLE_LINK2"/>
      <w:r w:rsidR="00481738" w:rsidRPr="007F680D">
        <w:t>P</w:t>
      </w:r>
      <w:r w:rsidR="00481738" w:rsidRPr="007F680D">
        <w:rPr>
          <w:vertAlign w:val="subscript"/>
        </w:rPr>
        <w:t>2</w:t>
      </w:r>
      <w:r w:rsidR="00481738" w:rsidRPr="007F680D">
        <w:t>O</w:t>
      </w:r>
      <w:r w:rsidR="00481738" w:rsidRPr="007F680D">
        <w:rPr>
          <w:vertAlign w:val="subscript"/>
        </w:rPr>
        <w:t>5</w:t>
      </w:r>
      <w:r w:rsidR="00481738" w:rsidRPr="007F680D">
        <w:t xml:space="preserve"> and</w:t>
      </w:r>
      <w:bookmarkEnd w:id="1"/>
      <w:r w:rsidR="00481738" w:rsidRPr="002C1A46">
        <w:t xml:space="preserve"> 2.0 for SiO</w:t>
      </w:r>
      <w:r w:rsidR="00481738" w:rsidRPr="002C1A46">
        <w:rPr>
          <w:vertAlign w:val="subscript"/>
        </w:rPr>
        <w:t>2</w:t>
      </w:r>
      <w:r w:rsidR="00481738" w:rsidRPr="002C1A46">
        <w:t xml:space="preserve">, reflecting the presence of NBOs in </w:t>
      </w:r>
      <w:bookmarkStart w:id="2" w:name="OLE_LINK4"/>
      <w:r w:rsidR="00481738" w:rsidRPr="007F680D">
        <w:t>P</w:t>
      </w:r>
      <w:r w:rsidR="00481738" w:rsidRPr="007F680D">
        <w:rPr>
          <w:vertAlign w:val="subscript"/>
        </w:rPr>
        <w:t>2</w:t>
      </w:r>
      <w:r w:rsidR="00481738" w:rsidRPr="007F680D">
        <w:t>O</w:t>
      </w:r>
      <w:r w:rsidR="00481738" w:rsidRPr="007F680D">
        <w:rPr>
          <w:vertAlign w:val="subscript"/>
        </w:rPr>
        <w:t>5</w:t>
      </w:r>
      <w:r w:rsidR="00481738" w:rsidRPr="007F680D">
        <w:t xml:space="preserve"> glass</w:t>
      </w:r>
      <w:bookmarkEnd w:id="2"/>
      <w:r w:rsidR="00481738" w:rsidRPr="007F680D">
        <w:t>.</w:t>
      </w:r>
      <w:r w:rsidR="00481738" w:rsidRPr="002C1A46">
        <w:t xml:space="preserve"> The fraction of NBOs in the total number of oxygen atoms is fixed at 40% based on previous experimental studies</w:t>
      </w:r>
      <w:r w:rsidR="00481738" w:rsidRPr="002C1A46">
        <w:rPr>
          <w:vertAlign w:val="superscript"/>
        </w:rPr>
        <w:t>14–18</w:t>
      </w:r>
      <w:r w:rsidR="00481738" w:rsidRPr="002C1A46">
        <w:t xml:space="preserve"> and is imposed as a constraint in the RMC–MD modelling. Consistently, each phosphorus atom is bonded to one NBO and three BOs (</w:t>
      </w:r>
      <w:r w:rsidR="00481738" w:rsidRPr="002C1A46">
        <w:rPr>
          <w:i/>
          <w:iCs/>
        </w:rPr>
        <w:t>N</w:t>
      </w:r>
      <w:r w:rsidR="00481738" w:rsidRPr="002C1A46">
        <w:rPr>
          <w:vertAlign w:val="subscript"/>
        </w:rPr>
        <w:t>P–NBO</w:t>
      </w:r>
      <w:r w:rsidR="00481738" w:rsidRPr="002C1A46">
        <w:t xml:space="preserve"> = 1 and </w:t>
      </w:r>
      <w:r w:rsidR="00481738" w:rsidRPr="002C1A46">
        <w:rPr>
          <w:i/>
          <w:iCs/>
        </w:rPr>
        <w:t>N</w:t>
      </w:r>
      <w:r w:rsidR="00481738" w:rsidRPr="002C1A46">
        <w:rPr>
          <w:vertAlign w:val="subscript"/>
        </w:rPr>
        <w:t>P–BO</w:t>
      </w:r>
      <w:r w:rsidR="00481738" w:rsidRPr="002C1A46">
        <w:t xml:space="preserve"> = 3), indicating that the ideal Q</w:t>
      </w:r>
      <w:r w:rsidR="00481738" w:rsidRPr="002C1A46">
        <w:rPr>
          <w:vertAlign w:val="superscript"/>
        </w:rPr>
        <w:t>3</w:t>
      </w:r>
      <w:r w:rsidR="00481738" w:rsidRPr="002C1A46">
        <w:t xml:space="preserve"> network structure of P</w:t>
      </w:r>
      <w:r w:rsidR="00481738" w:rsidRPr="002C1A46">
        <w:rPr>
          <w:vertAlign w:val="subscript"/>
        </w:rPr>
        <w:t>2</w:t>
      </w:r>
      <w:r w:rsidR="00481738" w:rsidRPr="002C1A46">
        <w:t>O</w:t>
      </w:r>
      <w:r w:rsidR="00481738" w:rsidRPr="002C1A46">
        <w:rPr>
          <w:vertAlign w:val="subscript"/>
        </w:rPr>
        <w:t>5</w:t>
      </w:r>
      <w:r w:rsidR="00481738" w:rsidRPr="002C1A46">
        <w:t xml:space="preserve"> glass is reliably</w:t>
      </w:r>
      <w:r w:rsidR="00481738" w:rsidRPr="002C1A46" w:rsidDel="008D594D">
        <w:t xml:space="preserve"> </w:t>
      </w:r>
      <w:r w:rsidR="00481738" w:rsidRPr="002C1A46">
        <w:t xml:space="preserve">reproduced in the present model. Furthermore, both </w:t>
      </w:r>
      <w:bookmarkStart w:id="3" w:name="OLE_LINK6"/>
      <w:r w:rsidR="00481738" w:rsidRPr="007F680D">
        <w:t>PO</w:t>
      </w:r>
      <w:r w:rsidR="00481738" w:rsidRPr="007F680D">
        <w:rPr>
          <w:vertAlign w:val="subscript"/>
        </w:rPr>
        <w:t>4</w:t>
      </w:r>
      <w:r w:rsidR="00481738" w:rsidRPr="007F680D">
        <w:t xml:space="preserve"> and SiO</w:t>
      </w:r>
      <w:r w:rsidR="00481738" w:rsidRPr="007F680D">
        <w:rPr>
          <w:vertAlign w:val="subscript"/>
        </w:rPr>
        <w:t>4</w:t>
      </w:r>
      <w:r w:rsidR="00481738" w:rsidRPr="007F680D">
        <w:t xml:space="preserve"> tetrahedra</w:t>
      </w:r>
      <w:bookmarkEnd w:id="3"/>
      <w:r w:rsidR="00481738" w:rsidRPr="002C1A46">
        <w:t xml:space="preserve"> are interconnected via 100% corner-sharing (Table 1), consistent with Zachariasen’s glass-forming rules.</w:t>
      </w:r>
      <w:r w:rsidR="00481738" w:rsidRPr="002C1A46">
        <w:rPr>
          <w:vertAlign w:val="superscript"/>
        </w:rPr>
        <w:t>1</w:t>
      </w:r>
      <w:r w:rsidR="001E7CBF" w:rsidRPr="002C1A46">
        <w:rPr>
          <w:vertAlign w:val="superscript"/>
        </w:rPr>
        <w:t xml:space="preserve"> </w:t>
      </w:r>
      <w:r w:rsidR="001E7CBF" w:rsidRPr="002C1A46">
        <w:t>To highlight the structural validity of the present model, it is worth comparing our results with the previously reported RMC model derived from the same datasets by Hoppe.</w:t>
      </w:r>
      <w:r w:rsidR="001E7CBF" w:rsidRPr="002C1A46">
        <w:rPr>
          <w:vertAlign w:val="superscript"/>
        </w:rPr>
        <w:t>20</w:t>
      </w:r>
      <w:r w:rsidR="001E7CBF" w:rsidRPr="002C1A46">
        <w:t xml:space="preserve"> While the model achieved an excellent fit to the experimental structure factors, it reproduced only approximately 82% of the P atoms belonging to Q</w:t>
      </w:r>
      <w:r w:rsidR="001E7CBF" w:rsidRPr="002C1A46">
        <w:rPr>
          <w:vertAlign w:val="superscript"/>
        </w:rPr>
        <w:t>3</w:t>
      </w:r>
      <w:r w:rsidR="001E7CBF" w:rsidRPr="002C1A46">
        <w:t xml:space="preserve"> units. In contrast, our RMC–MD model successfully achieves a Q</w:t>
      </w:r>
      <w:r w:rsidR="001E7CBF" w:rsidRPr="002C1A46">
        <w:rPr>
          <w:vertAlign w:val="superscript"/>
        </w:rPr>
        <w:t>3</w:t>
      </w:r>
      <w:r w:rsidR="001E7CBF" w:rsidRPr="002C1A46">
        <w:t xml:space="preserve"> fraction of nearly 100%, which is much closer to the ideal network configuration of pure P</w:t>
      </w:r>
      <w:r w:rsidR="001E7CBF" w:rsidRPr="002C1A46">
        <w:rPr>
          <w:vertAlign w:val="subscript"/>
        </w:rPr>
        <w:t>2</w:t>
      </w:r>
      <w:r w:rsidR="001E7CBF" w:rsidRPr="002C1A46">
        <w:t>O</w:t>
      </w:r>
      <w:r w:rsidR="001E7CBF" w:rsidRPr="002C1A46">
        <w:rPr>
          <w:vertAlign w:val="subscript"/>
        </w:rPr>
        <w:t>5</w:t>
      </w:r>
      <w:r w:rsidR="001E7CBF" w:rsidRPr="002C1A46">
        <w:t xml:space="preserve"> glass. Furthermore, the physically unrealistic spikes that were observed in the partial </w:t>
      </w:r>
      <w:r w:rsidR="001E7CBF" w:rsidRPr="002C1A46">
        <w:rPr>
          <w:i/>
          <w:iCs/>
        </w:rPr>
        <w:t>g</w:t>
      </w:r>
      <w:r w:rsidR="001E7CBF" w:rsidRPr="002C1A46">
        <w:rPr>
          <w:i/>
          <w:iCs/>
          <w:vertAlign w:val="subscript"/>
        </w:rPr>
        <w:t>αβ</w:t>
      </w:r>
      <w:r w:rsidR="001E7CBF" w:rsidRPr="002C1A46">
        <w:t>(</w:t>
      </w:r>
      <w:r w:rsidR="001E7CBF" w:rsidRPr="002C1A46">
        <w:rPr>
          <w:i/>
          <w:iCs/>
        </w:rPr>
        <w:t>r</w:t>
      </w:r>
      <w:r w:rsidR="001E7CBF" w:rsidRPr="002C1A46">
        <w:t>) of the previous study</w:t>
      </w:r>
      <w:r w:rsidR="001E7CBF" w:rsidRPr="002C1A46">
        <w:rPr>
          <w:vertAlign w:val="superscript"/>
        </w:rPr>
        <w:t>20</w:t>
      </w:r>
      <w:r w:rsidR="001E7CBF" w:rsidRPr="002C1A46">
        <w:t xml:space="preserve"> have been completely eliminated in our model (Fig. 2(b)). These improvements explicitly </w:t>
      </w:r>
      <w:r w:rsidR="00745593" w:rsidRPr="002C1A46">
        <w:rPr>
          <w:noProof/>
          <w:lang w:val="en-US"/>
        </w:rPr>
        <w:lastRenderedPageBreak/>
        <mc:AlternateContent>
          <mc:Choice Requires="wps">
            <w:drawing>
              <wp:anchor distT="0" distB="0" distL="114300" distR="114300" simplePos="0" relativeHeight="251743232" behindDoc="0" locked="0" layoutInCell="1" allowOverlap="1" wp14:anchorId="44B5CB7B" wp14:editId="692A6FA6">
                <wp:simplePos x="0" y="0"/>
                <wp:positionH relativeFrom="column">
                  <wp:posOffset>-60960</wp:posOffset>
                </wp:positionH>
                <wp:positionV relativeFrom="paragraph">
                  <wp:posOffset>0</wp:posOffset>
                </wp:positionV>
                <wp:extent cx="6528435" cy="1289050"/>
                <wp:effectExtent l="0" t="0" r="0" b="0"/>
                <wp:wrapSquare wrapText="bothSides"/>
                <wp:docPr id="1908911960"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528435" cy="1289050"/>
                        </a:xfrm>
                        <a:prstGeom prst="rect">
                          <a:avLst/>
                        </a:prstGeom>
                        <a:noFill/>
                        <a:ln w="9525">
                          <a:noFill/>
                          <a:miter lim="800000"/>
                          <a:headEnd/>
                          <a:tailEnd/>
                        </a:ln>
                      </wps:spPr>
                      <wps:txbx>
                        <w:txbxContent>
                          <w:p w14:paraId="423F9ABF" w14:textId="77777777" w:rsidR="007A58D1" w:rsidRDefault="007A58D1" w:rsidP="007A58D1">
                            <w:pPr>
                              <w:pStyle w:val="RSCT01TableTitlewithtopbar"/>
                              <w:spacing w:line="360" w:lineRule="auto"/>
                              <w:rPr>
                                <w:sz w:val="18"/>
                                <w:szCs w:val="18"/>
                              </w:rPr>
                            </w:pPr>
                            <w:r w:rsidRPr="00D04A8F">
                              <w:rPr>
                                <w:sz w:val="18"/>
                                <w:szCs w:val="18"/>
                              </w:rPr>
                              <w:t>Table 1 Distributions of coordination number and polyhedral connection in P</w:t>
                            </w:r>
                            <w:r w:rsidRPr="00D04A8F">
                              <w:rPr>
                                <w:sz w:val="18"/>
                                <w:szCs w:val="18"/>
                                <w:vertAlign w:val="subscript"/>
                              </w:rPr>
                              <w:t>2</w:t>
                            </w:r>
                            <w:r w:rsidRPr="00D04A8F">
                              <w:rPr>
                                <w:sz w:val="18"/>
                                <w:szCs w:val="18"/>
                              </w:rPr>
                              <w:t>O</w:t>
                            </w:r>
                            <w:r w:rsidRPr="00D04A8F">
                              <w:rPr>
                                <w:sz w:val="18"/>
                                <w:szCs w:val="18"/>
                                <w:vertAlign w:val="subscript"/>
                              </w:rPr>
                              <w:t>5</w:t>
                            </w:r>
                            <w:r w:rsidRPr="00D04A8F">
                              <w:rPr>
                                <w:sz w:val="18"/>
                                <w:szCs w:val="18"/>
                              </w:rPr>
                              <w:t xml:space="preserve"> and SiO</w:t>
                            </w:r>
                            <w:r w:rsidRPr="00D04A8F">
                              <w:rPr>
                                <w:sz w:val="18"/>
                                <w:szCs w:val="18"/>
                                <w:vertAlign w:val="subscript"/>
                              </w:rPr>
                              <w:t>2</w:t>
                            </w:r>
                            <w:r w:rsidRPr="00D04A8F">
                              <w:rPr>
                                <w:sz w:val="18"/>
                                <w:szCs w:val="18"/>
                              </w:rPr>
                              <w:t xml:space="preserve"> glasses</w:t>
                            </w:r>
                          </w:p>
                          <w:tbl>
                            <w:tblPr>
                              <w:tblW w:w="7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127"/>
                              <w:gridCol w:w="718"/>
                              <w:gridCol w:w="727"/>
                              <w:gridCol w:w="727"/>
                              <w:gridCol w:w="718"/>
                              <w:gridCol w:w="727"/>
                              <w:gridCol w:w="727"/>
                              <w:gridCol w:w="721"/>
                              <w:gridCol w:w="721"/>
                              <w:gridCol w:w="721"/>
                            </w:tblGrid>
                            <w:tr w:rsidR="007A58D1" w:rsidRPr="00622B23" w14:paraId="1B088848" w14:textId="77777777" w:rsidTr="007F680D">
                              <w:trPr>
                                <w:trHeight w:val="255"/>
                                <w:jc w:val="center"/>
                              </w:trPr>
                              <w:tc>
                                <w:tcPr>
                                  <w:tcW w:w="1127" w:type="dxa"/>
                                  <w:vMerge w:val="restart"/>
                                  <w:tcBorders>
                                    <w:left w:val="single" w:sz="4" w:space="0" w:color="auto"/>
                                  </w:tcBorders>
                                  <w:shd w:val="clear" w:color="auto" w:fill="D9D9D9" w:themeFill="background1" w:themeFillShade="D9"/>
                                  <w:tcMar>
                                    <w:top w:w="15" w:type="dxa"/>
                                    <w:left w:w="108" w:type="dxa"/>
                                    <w:bottom w:w="0" w:type="dxa"/>
                                    <w:right w:w="108" w:type="dxa"/>
                                  </w:tcMar>
                                  <w:vAlign w:val="center"/>
                                </w:tcPr>
                                <w:p w14:paraId="1D2075F1" w14:textId="77777777" w:rsidR="007A58D1" w:rsidRPr="00622B23" w:rsidRDefault="007A58D1" w:rsidP="00034CAF">
                                  <w:pPr>
                                    <w:pStyle w:val="08ArticleText"/>
                                    <w:spacing w:line="276" w:lineRule="auto"/>
                                    <w:jc w:val="center"/>
                                    <w:rPr>
                                      <w:b/>
                                      <w:bCs/>
                                      <w:sz w:val="16"/>
                                      <w:szCs w:val="16"/>
                                      <w:lang w:val="en-US" w:eastAsia="ja-JP"/>
                                    </w:rPr>
                                  </w:pPr>
                                </w:p>
                              </w:tc>
                              <w:tc>
                                <w:tcPr>
                                  <w:tcW w:w="2172" w:type="dxa"/>
                                  <w:gridSpan w:val="3"/>
                                  <w:shd w:val="clear" w:color="auto" w:fill="D9D9D9" w:themeFill="background1" w:themeFillShade="D9"/>
                                </w:tcPr>
                                <w:p w14:paraId="01596F41" w14:textId="77777777" w:rsidR="007A58D1" w:rsidRPr="000D536E" w:rsidRDefault="007A58D1" w:rsidP="00034CAF">
                                  <w:pPr>
                                    <w:pStyle w:val="08ArticleText"/>
                                    <w:spacing w:line="276" w:lineRule="auto"/>
                                    <w:jc w:val="center"/>
                                    <w:rPr>
                                      <w:lang w:val="en-US" w:eastAsia="ja-JP"/>
                                    </w:rPr>
                                  </w:pPr>
                                  <w:r w:rsidRPr="00034CAF">
                                    <w:rPr>
                                      <w:i/>
                                      <w:iCs/>
                                      <w:lang w:val="en-US" w:eastAsia="ja-JP"/>
                                    </w:rPr>
                                    <w:t>N</w:t>
                                  </w:r>
                                  <w:r w:rsidRPr="00034CAF">
                                    <w:rPr>
                                      <w:vertAlign w:val="subscript"/>
                                      <w:lang w:val="en-US" w:eastAsia="ja-JP"/>
                                    </w:rPr>
                                    <w:t>A–X</w:t>
                                  </w:r>
                                  <w:r w:rsidRPr="000D536E">
                                    <w:rPr>
                                      <w:lang w:val="en-US" w:eastAsia="ja-JP"/>
                                    </w:rPr>
                                    <w:t xml:space="preserve"> (</w:t>
                                  </w:r>
                                  <w:r>
                                    <w:rPr>
                                      <w:lang w:val="en-US" w:eastAsia="ja-JP"/>
                                    </w:rPr>
                                    <w:t>%</w:t>
                                  </w:r>
                                  <w:r w:rsidRPr="000D536E">
                                    <w:rPr>
                                      <w:lang w:val="en-US" w:eastAsia="ja-JP"/>
                                    </w:rPr>
                                    <w:t>)</w:t>
                                  </w:r>
                                </w:p>
                              </w:tc>
                              <w:tc>
                                <w:tcPr>
                                  <w:tcW w:w="2172" w:type="dxa"/>
                                  <w:gridSpan w:val="3"/>
                                  <w:shd w:val="clear" w:color="auto" w:fill="D9D9D9" w:themeFill="background1" w:themeFillShade="D9"/>
                                </w:tcPr>
                                <w:p w14:paraId="5F0DB5C7" w14:textId="77777777" w:rsidR="007A58D1" w:rsidRPr="000D536E" w:rsidRDefault="007A58D1" w:rsidP="00034CAF">
                                  <w:pPr>
                                    <w:pStyle w:val="08ArticleText"/>
                                    <w:spacing w:line="276" w:lineRule="auto"/>
                                    <w:jc w:val="center"/>
                                    <w:rPr>
                                      <w:lang w:val="en-US" w:eastAsia="ja-JP"/>
                                    </w:rPr>
                                  </w:pPr>
                                  <w:r w:rsidRPr="00034CAF">
                                    <w:rPr>
                                      <w:i/>
                                      <w:iCs/>
                                      <w:lang w:val="en-US" w:eastAsia="ja-JP"/>
                                    </w:rPr>
                                    <w:t>N</w:t>
                                  </w:r>
                                  <w:r>
                                    <w:rPr>
                                      <w:vertAlign w:val="subscript"/>
                                      <w:lang w:val="en-US" w:eastAsia="ja-JP"/>
                                    </w:rPr>
                                    <w:t>X</w:t>
                                  </w:r>
                                  <w:r w:rsidRPr="00034CAF">
                                    <w:rPr>
                                      <w:vertAlign w:val="subscript"/>
                                      <w:lang w:val="en-US" w:eastAsia="ja-JP"/>
                                    </w:rPr>
                                    <w:t>–</w:t>
                                  </w:r>
                                  <w:r>
                                    <w:rPr>
                                      <w:vertAlign w:val="subscript"/>
                                      <w:lang w:val="en-US" w:eastAsia="ja-JP"/>
                                    </w:rPr>
                                    <w:t>A</w:t>
                                  </w:r>
                                  <w:r w:rsidRPr="000D536E">
                                    <w:rPr>
                                      <w:lang w:val="en-US" w:eastAsia="ja-JP"/>
                                    </w:rPr>
                                    <w:t xml:space="preserve"> (</w:t>
                                  </w:r>
                                  <w:r>
                                    <w:rPr>
                                      <w:lang w:val="en-US" w:eastAsia="ja-JP"/>
                                    </w:rPr>
                                    <w:t>%</w:t>
                                  </w:r>
                                  <w:r w:rsidRPr="000D536E">
                                    <w:rPr>
                                      <w:lang w:val="en-US" w:eastAsia="ja-JP"/>
                                    </w:rPr>
                                    <w:t>)</w:t>
                                  </w:r>
                                </w:p>
                              </w:tc>
                              <w:tc>
                                <w:tcPr>
                                  <w:tcW w:w="2163" w:type="dxa"/>
                                  <w:gridSpan w:val="3"/>
                                  <w:shd w:val="clear" w:color="auto" w:fill="D9D9D9" w:themeFill="background1" w:themeFillShade="D9"/>
                                </w:tcPr>
                                <w:p w14:paraId="2C0370BB" w14:textId="77777777" w:rsidR="007A58D1" w:rsidRPr="000D536E" w:rsidRDefault="007A58D1" w:rsidP="00034CAF">
                                  <w:pPr>
                                    <w:pStyle w:val="08ArticleText"/>
                                    <w:spacing w:line="276" w:lineRule="auto"/>
                                    <w:jc w:val="center"/>
                                    <w:rPr>
                                      <w:lang w:val="en-US" w:eastAsia="ja-JP"/>
                                    </w:rPr>
                                  </w:pPr>
                                  <w:r>
                                    <w:rPr>
                                      <w:lang w:val="en-US" w:eastAsia="ja-JP"/>
                                    </w:rPr>
                                    <w:t>Polyhedral connection (%)</w:t>
                                  </w:r>
                                </w:p>
                              </w:tc>
                            </w:tr>
                            <w:tr w:rsidR="007A58D1" w:rsidRPr="00622B23" w14:paraId="04CC9323" w14:textId="77777777" w:rsidTr="007F680D">
                              <w:trPr>
                                <w:trHeight w:val="255"/>
                                <w:jc w:val="center"/>
                              </w:trPr>
                              <w:tc>
                                <w:tcPr>
                                  <w:tcW w:w="1127" w:type="dxa"/>
                                  <w:vMerge/>
                                  <w:tcBorders>
                                    <w:left w:val="single" w:sz="4" w:space="0" w:color="auto"/>
                                  </w:tcBorders>
                                  <w:shd w:val="clear" w:color="auto" w:fill="D9D9D9" w:themeFill="background1" w:themeFillShade="D9"/>
                                  <w:vAlign w:val="center"/>
                                  <w:hideMark/>
                                </w:tcPr>
                                <w:p w14:paraId="3160FD89" w14:textId="77777777" w:rsidR="007A58D1" w:rsidRPr="00622B23" w:rsidRDefault="007A58D1" w:rsidP="00034CAF">
                                  <w:pPr>
                                    <w:pStyle w:val="08ArticleText"/>
                                    <w:spacing w:line="276" w:lineRule="auto"/>
                                    <w:jc w:val="center"/>
                                    <w:rPr>
                                      <w:sz w:val="16"/>
                                      <w:szCs w:val="16"/>
                                      <w:lang w:val="en-US" w:eastAsia="ja-JP"/>
                                    </w:rPr>
                                  </w:pPr>
                                </w:p>
                              </w:tc>
                              <w:tc>
                                <w:tcPr>
                                  <w:tcW w:w="718" w:type="dxa"/>
                                  <w:shd w:val="clear" w:color="auto" w:fill="D9D9D9" w:themeFill="background1" w:themeFillShade="D9"/>
                                  <w:vAlign w:val="center"/>
                                </w:tcPr>
                                <w:p w14:paraId="70EB4044" w14:textId="77777777" w:rsidR="007A58D1" w:rsidRPr="00034CAF" w:rsidRDefault="007A58D1" w:rsidP="00034CAF">
                                  <w:pPr>
                                    <w:pStyle w:val="08ArticleText"/>
                                    <w:spacing w:line="276" w:lineRule="auto"/>
                                    <w:jc w:val="center"/>
                                    <w:rPr>
                                      <w:lang w:val="en-US" w:eastAsia="ja-JP"/>
                                    </w:rPr>
                                  </w:pPr>
                                  <w:r w:rsidRPr="00034CAF">
                                    <w:rPr>
                                      <w:lang w:val="en-US" w:eastAsia="ja-JP"/>
                                    </w:rPr>
                                    <w:t>3</w:t>
                                  </w:r>
                                </w:p>
                              </w:tc>
                              <w:tc>
                                <w:tcPr>
                                  <w:tcW w:w="727" w:type="dxa"/>
                                  <w:shd w:val="clear" w:color="auto" w:fill="D9D9D9" w:themeFill="background1" w:themeFillShade="D9"/>
                                </w:tcPr>
                                <w:p w14:paraId="0C0D6632" w14:textId="77777777" w:rsidR="007A58D1" w:rsidRPr="00034CAF" w:rsidRDefault="007A58D1" w:rsidP="00034CAF">
                                  <w:pPr>
                                    <w:pStyle w:val="08ArticleText"/>
                                    <w:spacing w:line="276" w:lineRule="auto"/>
                                    <w:jc w:val="center"/>
                                    <w:rPr>
                                      <w:lang w:val="en-US" w:eastAsia="ja-JP"/>
                                    </w:rPr>
                                  </w:pPr>
                                  <w:r w:rsidRPr="00034CAF">
                                    <w:rPr>
                                      <w:lang w:val="en-US" w:eastAsia="ja-JP"/>
                                    </w:rPr>
                                    <w:t>4</w:t>
                                  </w:r>
                                </w:p>
                              </w:tc>
                              <w:tc>
                                <w:tcPr>
                                  <w:tcW w:w="727" w:type="dxa"/>
                                  <w:shd w:val="clear" w:color="auto" w:fill="D9D9D9" w:themeFill="background1" w:themeFillShade="D9"/>
                                  <w:vAlign w:val="center"/>
                                </w:tcPr>
                                <w:p w14:paraId="79163872" w14:textId="77777777" w:rsidR="007A58D1" w:rsidRPr="00034CAF" w:rsidRDefault="007A58D1" w:rsidP="00034CAF">
                                  <w:pPr>
                                    <w:pStyle w:val="08ArticleText"/>
                                    <w:spacing w:line="276" w:lineRule="auto"/>
                                    <w:jc w:val="center"/>
                                    <w:rPr>
                                      <w:lang w:val="en-US" w:eastAsia="ja-JP"/>
                                    </w:rPr>
                                  </w:pPr>
                                  <w:r>
                                    <w:rPr>
                                      <w:lang w:val="en-US" w:eastAsia="ja-JP"/>
                                    </w:rPr>
                                    <w:t>5</w:t>
                                  </w:r>
                                </w:p>
                              </w:tc>
                              <w:tc>
                                <w:tcPr>
                                  <w:tcW w:w="718" w:type="dxa"/>
                                  <w:shd w:val="clear" w:color="auto" w:fill="D9D9D9" w:themeFill="background1" w:themeFillShade="D9"/>
                                  <w:vAlign w:val="center"/>
                                </w:tcPr>
                                <w:p w14:paraId="648054AA" w14:textId="77777777" w:rsidR="007A58D1" w:rsidRPr="00034CAF" w:rsidRDefault="007A58D1" w:rsidP="00034CAF">
                                  <w:pPr>
                                    <w:pStyle w:val="08ArticleText"/>
                                    <w:spacing w:line="276" w:lineRule="auto"/>
                                    <w:jc w:val="center"/>
                                    <w:rPr>
                                      <w:lang w:val="en-US" w:eastAsia="ja-JP"/>
                                    </w:rPr>
                                  </w:pPr>
                                  <w:r w:rsidRPr="00034CAF">
                                    <w:rPr>
                                      <w:lang w:val="en-US" w:eastAsia="ja-JP"/>
                                    </w:rPr>
                                    <w:t>1</w:t>
                                  </w:r>
                                </w:p>
                              </w:tc>
                              <w:tc>
                                <w:tcPr>
                                  <w:tcW w:w="727" w:type="dxa"/>
                                  <w:shd w:val="clear" w:color="auto" w:fill="D9D9D9" w:themeFill="background1" w:themeFillShade="D9"/>
                                </w:tcPr>
                                <w:p w14:paraId="2A3CE323" w14:textId="77777777" w:rsidR="007A58D1" w:rsidRPr="00034CAF" w:rsidRDefault="007A58D1" w:rsidP="00034CAF">
                                  <w:pPr>
                                    <w:pStyle w:val="08ArticleText"/>
                                    <w:spacing w:line="276" w:lineRule="auto"/>
                                    <w:jc w:val="center"/>
                                    <w:rPr>
                                      <w:lang w:val="en-US" w:eastAsia="ja-JP"/>
                                    </w:rPr>
                                  </w:pPr>
                                  <w:r w:rsidRPr="00034CAF">
                                    <w:rPr>
                                      <w:lang w:val="en-US" w:eastAsia="ja-JP"/>
                                    </w:rPr>
                                    <w:t>2</w:t>
                                  </w:r>
                                </w:p>
                              </w:tc>
                              <w:tc>
                                <w:tcPr>
                                  <w:tcW w:w="727" w:type="dxa"/>
                                  <w:shd w:val="clear" w:color="auto" w:fill="D9D9D9" w:themeFill="background1" w:themeFillShade="D9"/>
                                  <w:vAlign w:val="center"/>
                                </w:tcPr>
                                <w:p w14:paraId="7CE28656" w14:textId="77777777" w:rsidR="007A58D1" w:rsidRPr="00034CAF" w:rsidRDefault="007A58D1" w:rsidP="00034CAF">
                                  <w:pPr>
                                    <w:pStyle w:val="08ArticleText"/>
                                    <w:spacing w:line="276" w:lineRule="auto"/>
                                    <w:jc w:val="center"/>
                                    <w:rPr>
                                      <w:lang w:val="en-US" w:eastAsia="ja-JP"/>
                                    </w:rPr>
                                  </w:pPr>
                                  <w:r w:rsidRPr="00034CAF">
                                    <w:rPr>
                                      <w:lang w:val="en-US" w:eastAsia="ja-JP"/>
                                    </w:rPr>
                                    <w:t>3</w:t>
                                  </w:r>
                                </w:p>
                              </w:tc>
                              <w:tc>
                                <w:tcPr>
                                  <w:tcW w:w="721" w:type="dxa"/>
                                  <w:shd w:val="clear" w:color="auto" w:fill="D9D9D9" w:themeFill="background1" w:themeFillShade="D9"/>
                                  <w:vAlign w:val="center"/>
                                </w:tcPr>
                                <w:p w14:paraId="19487C2B" w14:textId="77777777" w:rsidR="007A58D1" w:rsidRPr="0020789D" w:rsidRDefault="007A58D1" w:rsidP="00034CAF">
                                  <w:pPr>
                                    <w:pStyle w:val="08ArticleText"/>
                                    <w:spacing w:line="276" w:lineRule="auto"/>
                                    <w:jc w:val="center"/>
                                    <w:rPr>
                                      <w:lang w:val="en-US" w:eastAsia="ja-JP"/>
                                    </w:rPr>
                                  </w:pPr>
                                  <w:r>
                                    <w:rPr>
                                      <w:lang w:val="en-US" w:eastAsia="ja-JP"/>
                                    </w:rPr>
                                    <w:t>Corner</w:t>
                                  </w:r>
                                </w:p>
                              </w:tc>
                              <w:tc>
                                <w:tcPr>
                                  <w:tcW w:w="721" w:type="dxa"/>
                                  <w:shd w:val="clear" w:color="auto" w:fill="D9D9D9" w:themeFill="background1" w:themeFillShade="D9"/>
                                </w:tcPr>
                                <w:p w14:paraId="0CD038E5" w14:textId="77777777" w:rsidR="007A58D1" w:rsidRPr="0020789D" w:rsidRDefault="007A58D1" w:rsidP="00034CAF">
                                  <w:pPr>
                                    <w:pStyle w:val="08ArticleText"/>
                                    <w:spacing w:line="276" w:lineRule="auto"/>
                                    <w:jc w:val="center"/>
                                    <w:rPr>
                                      <w:lang w:val="en-US" w:eastAsia="ja-JP"/>
                                    </w:rPr>
                                  </w:pPr>
                                  <w:r>
                                    <w:rPr>
                                      <w:lang w:val="en-US" w:eastAsia="ja-JP"/>
                                    </w:rPr>
                                    <w:t>Edge</w:t>
                                  </w:r>
                                </w:p>
                              </w:tc>
                              <w:tc>
                                <w:tcPr>
                                  <w:tcW w:w="721" w:type="dxa"/>
                                  <w:shd w:val="clear" w:color="auto" w:fill="D9D9D9" w:themeFill="background1" w:themeFillShade="D9"/>
                                  <w:vAlign w:val="center"/>
                                </w:tcPr>
                                <w:p w14:paraId="2B23504E" w14:textId="77777777" w:rsidR="007A58D1" w:rsidRPr="0020789D" w:rsidRDefault="007A58D1" w:rsidP="00034CAF">
                                  <w:pPr>
                                    <w:pStyle w:val="08ArticleText"/>
                                    <w:spacing w:line="276" w:lineRule="auto"/>
                                    <w:jc w:val="center"/>
                                    <w:rPr>
                                      <w:lang w:val="en-US" w:eastAsia="ja-JP"/>
                                    </w:rPr>
                                  </w:pPr>
                                  <w:r>
                                    <w:rPr>
                                      <w:lang w:val="en-US" w:eastAsia="ja-JP"/>
                                    </w:rPr>
                                    <w:t>Face</w:t>
                                  </w:r>
                                </w:p>
                              </w:tc>
                            </w:tr>
                            <w:tr w:rsidR="007A58D1" w:rsidRPr="00622B23" w14:paraId="11AC8D51" w14:textId="77777777" w:rsidTr="00034CAF">
                              <w:trPr>
                                <w:trHeight w:val="255"/>
                                <w:jc w:val="center"/>
                              </w:trPr>
                              <w:tc>
                                <w:tcPr>
                                  <w:tcW w:w="1127" w:type="dxa"/>
                                  <w:tcMar>
                                    <w:top w:w="15" w:type="dxa"/>
                                    <w:left w:w="108" w:type="dxa"/>
                                    <w:bottom w:w="0" w:type="dxa"/>
                                    <w:right w:w="108" w:type="dxa"/>
                                  </w:tcMar>
                                  <w:vAlign w:val="center"/>
                                  <w:hideMark/>
                                </w:tcPr>
                                <w:p w14:paraId="37354E2D" w14:textId="77777777" w:rsidR="007A58D1" w:rsidRPr="000D536E" w:rsidRDefault="007A58D1" w:rsidP="00034CAF">
                                  <w:pPr>
                                    <w:pStyle w:val="08ArticleText"/>
                                    <w:spacing w:line="276" w:lineRule="auto"/>
                                    <w:rPr>
                                      <w:lang w:val="en-US" w:eastAsia="ja-JP"/>
                                    </w:rPr>
                                  </w:pPr>
                                  <w:r>
                                    <w:rPr>
                                      <w:lang w:val="en-US" w:eastAsia="ja-JP"/>
                                    </w:rPr>
                                    <w:t>P</w:t>
                                  </w:r>
                                  <w:r w:rsidRPr="00034CAF">
                                    <w:rPr>
                                      <w:vertAlign w:val="subscript"/>
                                      <w:lang w:val="en-US" w:eastAsia="ja-JP"/>
                                    </w:rPr>
                                    <w:t>2</w:t>
                                  </w:r>
                                  <w:r>
                                    <w:rPr>
                                      <w:lang w:val="en-US" w:eastAsia="ja-JP"/>
                                    </w:rPr>
                                    <w:t>O</w:t>
                                  </w:r>
                                  <w:r w:rsidRPr="00034CAF">
                                    <w:rPr>
                                      <w:vertAlign w:val="subscript"/>
                                      <w:lang w:val="en-US" w:eastAsia="ja-JP"/>
                                    </w:rPr>
                                    <w:t>5</w:t>
                                  </w:r>
                                  <w:r>
                                    <w:rPr>
                                      <w:lang w:val="en-US" w:eastAsia="ja-JP"/>
                                    </w:rPr>
                                    <w:t xml:space="preserve"> glass</w:t>
                                  </w:r>
                                </w:p>
                              </w:tc>
                              <w:tc>
                                <w:tcPr>
                                  <w:tcW w:w="718" w:type="dxa"/>
                                  <w:vAlign w:val="center"/>
                                </w:tcPr>
                                <w:p w14:paraId="1304F17D"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7" w:type="dxa"/>
                                </w:tcPr>
                                <w:p w14:paraId="3FB0F36B" w14:textId="77777777" w:rsidR="007A58D1" w:rsidRPr="002C1A46" w:rsidRDefault="007A58D1" w:rsidP="00034CAF">
                                  <w:pPr>
                                    <w:pStyle w:val="08ArticleText"/>
                                    <w:spacing w:line="276" w:lineRule="auto"/>
                                    <w:jc w:val="center"/>
                                    <w:rPr>
                                      <w:lang w:val="en-US" w:eastAsia="ja-JP"/>
                                    </w:rPr>
                                  </w:pPr>
                                  <w:r w:rsidRPr="002C1A46">
                                    <w:rPr>
                                      <w:lang w:val="en-US" w:eastAsia="ja-JP"/>
                                    </w:rPr>
                                    <w:t>99.9</w:t>
                                  </w:r>
                                </w:p>
                              </w:tc>
                              <w:tc>
                                <w:tcPr>
                                  <w:tcW w:w="727" w:type="dxa"/>
                                  <w:vAlign w:val="center"/>
                                </w:tcPr>
                                <w:p w14:paraId="027733C1"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18" w:type="dxa"/>
                                  <w:vAlign w:val="center"/>
                                </w:tcPr>
                                <w:p w14:paraId="32092B76" w14:textId="77777777" w:rsidR="007A58D1" w:rsidRPr="002C1A46" w:rsidRDefault="007A58D1" w:rsidP="00034CAF">
                                  <w:pPr>
                                    <w:pStyle w:val="08ArticleText"/>
                                    <w:spacing w:line="276" w:lineRule="auto"/>
                                    <w:jc w:val="center"/>
                                    <w:rPr>
                                      <w:lang w:val="en-US" w:eastAsia="ja-JP"/>
                                    </w:rPr>
                                  </w:pPr>
                                  <w:r w:rsidRPr="002C1A46">
                                    <w:rPr>
                                      <w:lang w:val="en-US" w:eastAsia="ja-JP"/>
                                    </w:rPr>
                                    <w:t>40.0</w:t>
                                  </w:r>
                                </w:p>
                              </w:tc>
                              <w:tc>
                                <w:tcPr>
                                  <w:tcW w:w="727" w:type="dxa"/>
                                </w:tcPr>
                                <w:p w14:paraId="24D51820" w14:textId="77777777" w:rsidR="007A58D1" w:rsidRPr="002C1A46" w:rsidRDefault="007A58D1" w:rsidP="00034CAF">
                                  <w:pPr>
                                    <w:pStyle w:val="08ArticleText"/>
                                    <w:spacing w:line="276" w:lineRule="auto"/>
                                    <w:jc w:val="center"/>
                                    <w:rPr>
                                      <w:lang w:val="en-US" w:eastAsia="ja-JP"/>
                                    </w:rPr>
                                  </w:pPr>
                                  <w:r w:rsidRPr="002C1A46">
                                    <w:rPr>
                                      <w:lang w:val="en-US" w:eastAsia="ja-JP"/>
                                    </w:rPr>
                                    <w:t>60.0</w:t>
                                  </w:r>
                                </w:p>
                              </w:tc>
                              <w:tc>
                                <w:tcPr>
                                  <w:tcW w:w="727" w:type="dxa"/>
                                  <w:vAlign w:val="center"/>
                                </w:tcPr>
                                <w:p w14:paraId="1E0B4E55"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32C8CA07" w14:textId="77777777" w:rsidR="007A58D1" w:rsidRPr="002C1A46" w:rsidRDefault="007A58D1" w:rsidP="00034CAF">
                                  <w:pPr>
                                    <w:pStyle w:val="08ArticleText"/>
                                    <w:spacing w:line="276" w:lineRule="auto"/>
                                    <w:jc w:val="center"/>
                                    <w:rPr>
                                      <w:lang w:val="en-US" w:eastAsia="ja-JP"/>
                                    </w:rPr>
                                  </w:pPr>
                                  <w:r w:rsidRPr="002C1A46">
                                    <w:rPr>
                                      <w:lang w:val="en-US" w:eastAsia="ja-JP"/>
                                    </w:rPr>
                                    <w:t>100.0</w:t>
                                  </w:r>
                                </w:p>
                              </w:tc>
                              <w:tc>
                                <w:tcPr>
                                  <w:tcW w:w="721" w:type="dxa"/>
                                </w:tcPr>
                                <w:p w14:paraId="5BFB3C64"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5048BDF7"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r>
                            <w:tr w:rsidR="007A58D1" w:rsidRPr="00622B23" w14:paraId="76671301" w14:textId="77777777" w:rsidTr="00034CAF">
                              <w:trPr>
                                <w:trHeight w:val="110"/>
                                <w:jc w:val="center"/>
                              </w:trPr>
                              <w:tc>
                                <w:tcPr>
                                  <w:tcW w:w="1127" w:type="dxa"/>
                                  <w:tcMar>
                                    <w:top w:w="15" w:type="dxa"/>
                                    <w:left w:w="108" w:type="dxa"/>
                                    <w:bottom w:w="0" w:type="dxa"/>
                                    <w:right w:w="108" w:type="dxa"/>
                                  </w:tcMar>
                                  <w:vAlign w:val="center"/>
                                </w:tcPr>
                                <w:p w14:paraId="23B61513" w14:textId="77777777" w:rsidR="007A58D1" w:rsidRPr="000D536E" w:rsidRDefault="007A58D1" w:rsidP="00034CAF">
                                  <w:pPr>
                                    <w:pStyle w:val="08ArticleText"/>
                                    <w:spacing w:line="276" w:lineRule="auto"/>
                                    <w:rPr>
                                      <w:lang w:val="en-US" w:eastAsia="ja-JP"/>
                                    </w:rPr>
                                  </w:pPr>
                                  <w:r>
                                    <w:rPr>
                                      <w:lang w:val="en-US" w:eastAsia="ja-JP"/>
                                    </w:rPr>
                                    <w:t>SiO</w:t>
                                  </w:r>
                                  <w:r w:rsidRPr="00034CAF">
                                    <w:rPr>
                                      <w:vertAlign w:val="subscript"/>
                                      <w:lang w:val="en-US" w:eastAsia="ja-JP"/>
                                    </w:rPr>
                                    <w:t>2</w:t>
                                  </w:r>
                                  <w:r>
                                    <w:rPr>
                                      <w:lang w:val="en-US" w:eastAsia="ja-JP"/>
                                    </w:rPr>
                                    <w:t xml:space="preserve"> glass</w:t>
                                  </w:r>
                                </w:p>
                              </w:tc>
                              <w:tc>
                                <w:tcPr>
                                  <w:tcW w:w="718" w:type="dxa"/>
                                  <w:vAlign w:val="center"/>
                                </w:tcPr>
                                <w:p w14:paraId="1B5339AB"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7" w:type="dxa"/>
                                </w:tcPr>
                                <w:p w14:paraId="62D81EB3" w14:textId="77777777" w:rsidR="007A58D1" w:rsidRPr="002C1A46" w:rsidRDefault="007A58D1" w:rsidP="00034CAF">
                                  <w:pPr>
                                    <w:pStyle w:val="08ArticleText"/>
                                    <w:spacing w:line="276" w:lineRule="auto"/>
                                    <w:jc w:val="center"/>
                                    <w:rPr>
                                      <w:lang w:val="en-US" w:eastAsia="ja-JP"/>
                                    </w:rPr>
                                  </w:pPr>
                                  <w:r w:rsidRPr="002C1A46">
                                    <w:rPr>
                                      <w:lang w:val="en-US" w:eastAsia="ja-JP"/>
                                    </w:rPr>
                                    <w:t>99.8</w:t>
                                  </w:r>
                                </w:p>
                              </w:tc>
                              <w:tc>
                                <w:tcPr>
                                  <w:tcW w:w="727" w:type="dxa"/>
                                  <w:vAlign w:val="center"/>
                                </w:tcPr>
                                <w:p w14:paraId="181EA11B"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18" w:type="dxa"/>
                                  <w:vAlign w:val="center"/>
                                </w:tcPr>
                                <w:p w14:paraId="6A1747BF"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7" w:type="dxa"/>
                                </w:tcPr>
                                <w:p w14:paraId="1A285A68" w14:textId="77777777" w:rsidR="007A58D1" w:rsidRPr="002C1A46" w:rsidRDefault="007A58D1" w:rsidP="00034CAF">
                                  <w:pPr>
                                    <w:pStyle w:val="08ArticleText"/>
                                    <w:spacing w:line="276" w:lineRule="auto"/>
                                    <w:jc w:val="center"/>
                                    <w:rPr>
                                      <w:lang w:val="en-US" w:eastAsia="ja-JP"/>
                                    </w:rPr>
                                  </w:pPr>
                                  <w:r w:rsidRPr="002C1A46">
                                    <w:rPr>
                                      <w:lang w:val="en-US" w:eastAsia="ja-JP"/>
                                    </w:rPr>
                                    <w:t>99.9</w:t>
                                  </w:r>
                                </w:p>
                              </w:tc>
                              <w:tc>
                                <w:tcPr>
                                  <w:tcW w:w="727" w:type="dxa"/>
                                  <w:vAlign w:val="center"/>
                                </w:tcPr>
                                <w:p w14:paraId="19211077"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1" w:type="dxa"/>
                                  <w:vAlign w:val="center"/>
                                </w:tcPr>
                                <w:p w14:paraId="2481600D" w14:textId="77777777" w:rsidR="007A58D1" w:rsidRPr="002C1A46" w:rsidRDefault="007A58D1" w:rsidP="00034CAF">
                                  <w:pPr>
                                    <w:pStyle w:val="08ArticleText"/>
                                    <w:spacing w:line="276" w:lineRule="auto"/>
                                    <w:jc w:val="center"/>
                                    <w:rPr>
                                      <w:lang w:val="en-US" w:eastAsia="ja-JP"/>
                                    </w:rPr>
                                  </w:pPr>
                                  <w:r w:rsidRPr="002C1A46">
                                    <w:rPr>
                                      <w:lang w:val="en-US" w:eastAsia="ja-JP"/>
                                    </w:rPr>
                                    <w:t>100.0</w:t>
                                  </w:r>
                                </w:p>
                              </w:tc>
                              <w:tc>
                                <w:tcPr>
                                  <w:tcW w:w="721" w:type="dxa"/>
                                </w:tcPr>
                                <w:p w14:paraId="124E9CC1"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6CE05D45"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r>
                          </w:tbl>
                          <w:p w14:paraId="6B50FFA0" w14:textId="77777777" w:rsidR="007A58D1" w:rsidRPr="00D04A8F" w:rsidRDefault="007A58D1" w:rsidP="007A58D1">
                            <w:pPr>
                              <w:pStyle w:val="RSCT01TableTitlewithtopbar"/>
                              <w:rPr>
                                <w:sz w:val="18"/>
                                <w:szCs w:val="18"/>
                                <w:lang w:val="en-US" w:eastAsia="ja-JP"/>
                              </w:rPr>
                            </w:pPr>
                          </w:p>
                          <w:p w14:paraId="1D6B9D7B" w14:textId="77777777" w:rsidR="007A58D1" w:rsidRDefault="007A58D1" w:rsidP="007A58D1"/>
                        </w:txbxContent>
                      </wps:txbx>
                      <wps:bodyPr rot="0" vert="horz" wrap="square" lIns="0" tIns="36000" rIns="0" bIns="36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4B5CB7B" id="_x0000_t202" coordsize="21600,21600" o:spt="202" path="m,l,21600r21600,l21600,xe">
                <v:stroke joinstyle="miter"/>
                <v:path gradientshapeok="t" o:connecttype="rect"/>
              </v:shapetype>
              <v:shape id="_x0000_s1029" type="#_x0000_t202" style="position:absolute;left:0;text-align:left;margin-left:-4.8pt;margin-top:0;width:514.05pt;height:10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" filled="f" stroked="f">
                <o:lock v:ext="edit" aspectratio="t"/>
                <v:textbox inset="0,1mm,0,1mm">
                  <w:txbxContent>
                    <w:p w14:paraId="423F9ABF" w14:textId="77777777" w:rsidR="007A58D1" w:rsidRDefault="007A58D1" w:rsidP="007A58D1">
                      <w:pPr>
                        <w:pStyle w:val="RSCT01TableTitlewithtopbar"/>
                        <w:spacing w:line="360" w:lineRule="auto"/>
                        <w:rPr>
                          <w:sz w:val="18"/>
                          <w:szCs w:val="18"/>
                        </w:rPr>
                      </w:pPr>
                      <w:r w:rsidRPr="00D04A8F">
                        <w:rPr>
                          <w:sz w:val="18"/>
                          <w:szCs w:val="18"/>
                        </w:rPr>
                        <w:t>Table 1 Distributions of coordination number and polyhedral connection in P</w:t>
                      </w:r>
                      <w:r w:rsidRPr="00D04A8F">
                        <w:rPr>
                          <w:sz w:val="18"/>
                          <w:szCs w:val="18"/>
                          <w:vertAlign w:val="subscript"/>
                        </w:rPr>
                        <w:t>2</w:t>
                      </w:r>
                      <w:r w:rsidRPr="00D04A8F">
                        <w:rPr>
                          <w:sz w:val="18"/>
                          <w:szCs w:val="18"/>
                        </w:rPr>
                        <w:t>O</w:t>
                      </w:r>
                      <w:r w:rsidRPr="00D04A8F">
                        <w:rPr>
                          <w:sz w:val="18"/>
                          <w:szCs w:val="18"/>
                          <w:vertAlign w:val="subscript"/>
                        </w:rPr>
                        <w:t>5</w:t>
                      </w:r>
                      <w:r w:rsidRPr="00D04A8F">
                        <w:rPr>
                          <w:sz w:val="18"/>
                          <w:szCs w:val="18"/>
                        </w:rPr>
                        <w:t xml:space="preserve"> and SiO</w:t>
                      </w:r>
                      <w:r w:rsidRPr="00D04A8F">
                        <w:rPr>
                          <w:sz w:val="18"/>
                          <w:szCs w:val="18"/>
                          <w:vertAlign w:val="subscript"/>
                        </w:rPr>
                        <w:t>2</w:t>
                      </w:r>
                      <w:r w:rsidRPr="00D04A8F">
                        <w:rPr>
                          <w:sz w:val="18"/>
                          <w:szCs w:val="18"/>
                        </w:rPr>
                        <w:t xml:space="preserve"> glasses</w:t>
                      </w:r>
                    </w:p>
                    <w:tbl>
                      <w:tblPr>
                        <w:tblW w:w="7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127"/>
                        <w:gridCol w:w="718"/>
                        <w:gridCol w:w="727"/>
                        <w:gridCol w:w="727"/>
                        <w:gridCol w:w="718"/>
                        <w:gridCol w:w="727"/>
                        <w:gridCol w:w="727"/>
                        <w:gridCol w:w="721"/>
                        <w:gridCol w:w="721"/>
                        <w:gridCol w:w="721"/>
                      </w:tblGrid>
                      <w:tr w:rsidR="007A58D1" w:rsidRPr="00622B23" w14:paraId="1B088848" w14:textId="77777777" w:rsidTr="007F680D">
                        <w:trPr>
                          <w:trHeight w:val="255"/>
                          <w:jc w:val="center"/>
                        </w:trPr>
                        <w:tc>
                          <w:tcPr>
                            <w:tcW w:w="1127" w:type="dxa"/>
                            <w:vMerge w:val="restart"/>
                            <w:tcBorders>
                              <w:left w:val="single" w:sz="4" w:space="0" w:color="auto"/>
                            </w:tcBorders>
                            <w:shd w:val="clear" w:color="auto" w:fill="D9D9D9" w:themeFill="background1" w:themeFillShade="D9"/>
                            <w:tcMar>
                              <w:top w:w="15" w:type="dxa"/>
                              <w:left w:w="108" w:type="dxa"/>
                              <w:bottom w:w="0" w:type="dxa"/>
                              <w:right w:w="108" w:type="dxa"/>
                            </w:tcMar>
                            <w:vAlign w:val="center"/>
                          </w:tcPr>
                          <w:p w14:paraId="1D2075F1" w14:textId="77777777" w:rsidR="007A58D1" w:rsidRPr="00622B23" w:rsidRDefault="007A58D1" w:rsidP="00034CAF">
                            <w:pPr>
                              <w:pStyle w:val="08ArticleText"/>
                              <w:spacing w:line="276" w:lineRule="auto"/>
                              <w:jc w:val="center"/>
                              <w:rPr>
                                <w:b/>
                                <w:bCs/>
                                <w:sz w:val="16"/>
                                <w:szCs w:val="16"/>
                                <w:lang w:val="en-US" w:eastAsia="ja-JP"/>
                              </w:rPr>
                            </w:pPr>
                          </w:p>
                        </w:tc>
                        <w:tc>
                          <w:tcPr>
                            <w:tcW w:w="2172" w:type="dxa"/>
                            <w:gridSpan w:val="3"/>
                            <w:shd w:val="clear" w:color="auto" w:fill="D9D9D9" w:themeFill="background1" w:themeFillShade="D9"/>
                          </w:tcPr>
                          <w:p w14:paraId="01596F41" w14:textId="77777777" w:rsidR="007A58D1" w:rsidRPr="000D536E" w:rsidRDefault="007A58D1" w:rsidP="00034CAF">
                            <w:pPr>
                              <w:pStyle w:val="08ArticleText"/>
                              <w:spacing w:line="276" w:lineRule="auto"/>
                              <w:jc w:val="center"/>
                              <w:rPr>
                                <w:lang w:val="en-US" w:eastAsia="ja-JP"/>
                              </w:rPr>
                            </w:pPr>
                            <w:r w:rsidRPr="00034CAF">
                              <w:rPr>
                                <w:i/>
                                <w:iCs/>
                                <w:lang w:val="en-US" w:eastAsia="ja-JP"/>
                              </w:rPr>
                              <w:t>N</w:t>
                            </w:r>
                            <w:r w:rsidRPr="00034CAF">
                              <w:rPr>
                                <w:vertAlign w:val="subscript"/>
                                <w:lang w:val="en-US" w:eastAsia="ja-JP"/>
                              </w:rPr>
                              <w:t>A–X</w:t>
                            </w:r>
                            <w:r w:rsidRPr="000D536E">
                              <w:rPr>
                                <w:lang w:val="en-US" w:eastAsia="ja-JP"/>
                              </w:rPr>
                              <w:t xml:space="preserve"> (</w:t>
                            </w:r>
                            <w:r>
                              <w:rPr>
                                <w:lang w:val="en-US" w:eastAsia="ja-JP"/>
                              </w:rPr>
                              <w:t>%</w:t>
                            </w:r>
                            <w:r w:rsidRPr="000D536E">
                              <w:rPr>
                                <w:lang w:val="en-US" w:eastAsia="ja-JP"/>
                              </w:rPr>
                              <w:t>)</w:t>
                            </w:r>
                          </w:p>
                        </w:tc>
                        <w:tc>
                          <w:tcPr>
                            <w:tcW w:w="2172" w:type="dxa"/>
                            <w:gridSpan w:val="3"/>
                            <w:shd w:val="clear" w:color="auto" w:fill="D9D9D9" w:themeFill="background1" w:themeFillShade="D9"/>
                          </w:tcPr>
                          <w:p w14:paraId="5F0DB5C7" w14:textId="77777777" w:rsidR="007A58D1" w:rsidRPr="000D536E" w:rsidRDefault="007A58D1" w:rsidP="00034CAF">
                            <w:pPr>
                              <w:pStyle w:val="08ArticleText"/>
                              <w:spacing w:line="276" w:lineRule="auto"/>
                              <w:jc w:val="center"/>
                              <w:rPr>
                                <w:lang w:val="en-US" w:eastAsia="ja-JP"/>
                              </w:rPr>
                            </w:pPr>
                            <w:r w:rsidRPr="00034CAF">
                              <w:rPr>
                                <w:i/>
                                <w:iCs/>
                                <w:lang w:val="en-US" w:eastAsia="ja-JP"/>
                              </w:rPr>
                              <w:t>N</w:t>
                            </w:r>
                            <w:r>
                              <w:rPr>
                                <w:vertAlign w:val="subscript"/>
                                <w:lang w:val="en-US" w:eastAsia="ja-JP"/>
                              </w:rPr>
                              <w:t>X</w:t>
                            </w:r>
                            <w:r w:rsidRPr="00034CAF">
                              <w:rPr>
                                <w:vertAlign w:val="subscript"/>
                                <w:lang w:val="en-US" w:eastAsia="ja-JP"/>
                              </w:rPr>
                              <w:t>–</w:t>
                            </w:r>
                            <w:r>
                              <w:rPr>
                                <w:vertAlign w:val="subscript"/>
                                <w:lang w:val="en-US" w:eastAsia="ja-JP"/>
                              </w:rPr>
                              <w:t>A</w:t>
                            </w:r>
                            <w:r w:rsidRPr="000D536E">
                              <w:rPr>
                                <w:lang w:val="en-US" w:eastAsia="ja-JP"/>
                              </w:rPr>
                              <w:t xml:space="preserve"> (</w:t>
                            </w:r>
                            <w:r>
                              <w:rPr>
                                <w:lang w:val="en-US" w:eastAsia="ja-JP"/>
                              </w:rPr>
                              <w:t>%</w:t>
                            </w:r>
                            <w:r w:rsidRPr="000D536E">
                              <w:rPr>
                                <w:lang w:val="en-US" w:eastAsia="ja-JP"/>
                              </w:rPr>
                              <w:t>)</w:t>
                            </w:r>
                          </w:p>
                        </w:tc>
                        <w:tc>
                          <w:tcPr>
                            <w:tcW w:w="2163" w:type="dxa"/>
                            <w:gridSpan w:val="3"/>
                            <w:shd w:val="clear" w:color="auto" w:fill="D9D9D9" w:themeFill="background1" w:themeFillShade="D9"/>
                          </w:tcPr>
                          <w:p w14:paraId="2C0370BB" w14:textId="77777777" w:rsidR="007A58D1" w:rsidRPr="000D536E" w:rsidRDefault="007A58D1" w:rsidP="00034CAF">
                            <w:pPr>
                              <w:pStyle w:val="08ArticleText"/>
                              <w:spacing w:line="276" w:lineRule="auto"/>
                              <w:jc w:val="center"/>
                              <w:rPr>
                                <w:lang w:val="en-US" w:eastAsia="ja-JP"/>
                              </w:rPr>
                            </w:pPr>
                            <w:r>
                              <w:rPr>
                                <w:lang w:val="en-US" w:eastAsia="ja-JP"/>
                              </w:rPr>
                              <w:t>Polyhedral connection (%)</w:t>
                            </w:r>
                          </w:p>
                        </w:tc>
                      </w:tr>
                      <w:tr w:rsidR="007A58D1" w:rsidRPr="00622B23" w14:paraId="04CC9323" w14:textId="77777777" w:rsidTr="007F680D">
                        <w:trPr>
                          <w:trHeight w:val="255"/>
                          <w:jc w:val="center"/>
                        </w:trPr>
                        <w:tc>
                          <w:tcPr>
                            <w:tcW w:w="1127" w:type="dxa"/>
                            <w:vMerge/>
                            <w:tcBorders>
                              <w:left w:val="single" w:sz="4" w:space="0" w:color="auto"/>
                            </w:tcBorders>
                            <w:shd w:val="clear" w:color="auto" w:fill="D9D9D9" w:themeFill="background1" w:themeFillShade="D9"/>
                            <w:vAlign w:val="center"/>
                            <w:hideMark/>
                          </w:tcPr>
                          <w:p w14:paraId="3160FD89" w14:textId="77777777" w:rsidR="007A58D1" w:rsidRPr="00622B23" w:rsidRDefault="007A58D1" w:rsidP="00034CAF">
                            <w:pPr>
                              <w:pStyle w:val="08ArticleText"/>
                              <w:spacing w:line="276" w:lineRule="auto"/>
                              <w:jc w:val="center"/>
                              <w:rPr>
                                <w:sz w:val="16"/>
                                <w:szCs w:val="16"/>
                                <w:lang w:val="en-US" w:eastAsia="ja-JP"/>
                              </w:rPr>
                            </w:pPr>
                          </w:p>
                        </w:tc>
                        <w:tc>
                          <w:tcPr>
                            <w:tcW w:w="718" w:type="dxa"/>
                            <w:shd w:val="clear" w:color="auto" w:fill="D9D9D9" w:themeFill="background1" w:themeFillShade="D9"/>
                            <w:vAlign w:val="center"/>
                          </w:tcPr>
                          <w:p w14:paraId="70EB4044" w14:textId="77777777" w:rsidR="007A58D1" w:rsidRPr="00034CAF" w:rsidRDefault="007A58D1" w:rsidP="00034CAF">
                            <w:pPr>
                              <w:pStyle w:val="08ArticleText"/>
                              <w:spacing w:line="276" w:lineRule="auto"/>
                              <w:jc w:val="center"/>
                              <w:rPr>
                                <w:lang w:val="en-US" w:eastAsia="ja-JP"/>
                              </w:rPr>
                            </w:pPr>
                            <w:r w:rsidRPr="00034CAF">
                              <w:rPr>
                                <w:lang w:val="en-US" w:eastAsia="ja-JP"/>
                              </w:rPr>
                              <w:t>3</w:t>
                            </w:r>
                          </w:p>
                        </w:tc>
                        <w:tc>
                          <w:tcPr>
                            <w:tcW w:w="727" w:type="dxa"/>
                            <w:shd w:val="clear" w:color="auto" w:fill="D9D9D9" w:themeFill="background1" w:themeFillShade="D9"/>
                          </w:tcPr>
                          <w:p w14:paraId="0C0D6632" w14:textId="77777777" w:rsidR="007A58D1" w:rsidRPr="00034CAF" w:rsidRDefault="007A58D1" w:rsidP="00034CAF">
                            <w:pPr>
                              <w:pStyle w:val="08ArticleText"/>
                              <w:spacing w:line="276" w:lineRule="auto"/>
                              <w:jc w:val="center"/>
                              <w:rPr>
                                <w:lang w:val="en-US" w:eastAsia="ja-JP"/>
                              </w:rPr>
                            </w:pPr>
                            <w:r w:rsidRPr="00034CAF">
                              <w:rPr>
                                <w:lang w:val="en-US" w:eastAsia="ja-JP"/>
                              </w:rPr>
                              <w:t>4</w:t>
                            </w:r>
                          </w:p>
                        </w:tc>
                        <w:tc>
                          <w:tcPr>
                            <w:tcW w:w="727" w:type="dxa"/>
                            <w:shd w:val="clear" w:color="auto" w:fill="D9D9D9" w:themeFill="background1" w:themeFillShade="D9"/>
                            <w:vAlign w:val="center"/>
                          </w:tcPr>
                          <w:p w14:paraId="79163872" w14:textId="77777777" w:rsidR="007A58D1" w:rsidRPr="00034CAF" w:rsidRDefault="007A58D1" w:rsidP="00034CAF">
                            <w:pPr>
                              <w:pStyle w:val="08ArticleText"/>
                              <w:spacing w:line="276" w:lineRule="auto"/>
                              <w:jc w:val="center"/>
                              <w:rPr>
                                <w:lang w:val="en-US" w:eastAsia="ja-JP"/>
                              </w:rPr>
                            </w:pPr>
                            <w:r>
                              <w:rPr>
                                <w:lang w:val="en-US" w:eastAsia="ja-JP"/>
                              </w:rPr>
                              <w:t>5</w:t>
                            </w:r>
                          </w:p>
                        </w:tc>
                        <w:tc>
                          <w:tcPr>
                            <w:tcW w:w="718" w:type="dxa"/>
                            <w:shd w:val="clear" w:color="auto" w:fill="D9D9D9" w:themeFill="background1" w:themeFillShade="D9"/>
                            <w:vAlign w:val="center"/>
                          </w:tcPr>
                          <w:p w14:paraId="648054AA" w14:textId="77777777" w:rsidR="007A58D1" w:rsidRPr="00034CAF" w:rsidRDefault="007A58D1" w:rsidP="00034CAF">
                            <w:pPr>
                              <w:pStyle w:val="08ArticleText"/>
                              <w:spacing w:line="276" w:lineRule="auto"/>
                              <w:jc w:val="center"/>
                              <w:rPr>
                                <w:lang w:val="en-US" w:eastAsia="ja-JP"/>
                              </w:rPr>
                            </w:pPr>
                            <w:r w:rsidRPr="00034CAF">
                              <w:rPr>
                                <w:lang w:val="en-US" w:eastAsia="ja-JP"/>
                              </w:rPr>
                              <w:t>1</w:t>
                            </w:r>
                          </w:p>
                        </w:tc>
                        <w:tc>
                          <w:tcPr>
                            <w:tcW w:w="727" w:type="dxa"/>
                            <w:shd w:val="clear" w:color="auto" w:fill="D9D9D9" w:themeFill="background1" w:themeFillShade="D9"/>
                          </w:tcPr>
                          <w:p w14:paraId="2A3CE323" w14:textId="77777777" w:rsidR="007A58D1" w:rsidRPr="00034CAF" w:rsidRDefault="007A58D1" w:rsidP="00034CAF">
                            <w:pPr>
                              <w:pStyle w:val="08ArticleText"/>
                              <w:spacing w:line="276" w:lineRule="auto"/>
                              <w:jc w:val="center"/>
                              <w:rPr>
                                <w:lang w:val="en-US" w:eastAsia="ja-JP"/>
                              </w:rPr>
                            </w:pPr>
                            <w:r w:rsidRPr="00034CAF">
                              <w:rPr>
                                <w:lang w:val="en-US" w:eastAsia="ja-JP"/>
                              </w:rPr>
                              <w:t>2</w:t>
                            </w:r>
                          </w:p>
                        </w:tc>
                        <w:tc>
                          <w:tcPr>
                            <w:tcW w:w="727" w:type="dxa"/>
                            <w:shd w:val="clear" w:color="auto" w:fill="D9D9D9" w:themeFill="background1" w:themeFillShade="D9"/>
                            <w:vAlign w:val="center"/>
                          </w:tcPr>
                          <w:p w14:paraId="7CE28656" w14:textId="77777777" w:rsidR="007A58D1" w:rsidRPr="00034CAF" w:rsidRDefault="007A58D1" w:rsidP="00034CAF">
                            <w:pPr>
                              <w:pStyle w:val="08ArticleText"/>
                              <w:spacing w:line="276" w:lineRule="auto"/>
                              <w:jc w:val="center"/>
                              <w:rPr>
                                <w:lang w:val="en-US" w:eastAsia="ja-JP"/>
                              </w:rPr>
                            </w:pPr>
                            <w:r w:rsidRPr="00034CAF">
                              <w:rPr>
                                <w:lang w:val="en-US" w:eastAsia="ja-JP"/>
                              </w:rPr>
                              <w:t>3</w:t>
                            </w:r>
                          </w:p>
                        </w:tc>
                        <w:tc>
                          <w:tcPr>
                            <w:tcW w:w="721" w:type="dxa"/>
                            <w:shd w:val="clear" w:color="auto" w:fill="D9D9D9" w:themeFill="background1" w:themeFillShade="D9"/>
                            <w:vAlign w:val="center"/>
                          </w:tcPr>
                          <w:p w14:paraId="19487C2B" w14:textId="77777777" w:rsidR="007A58D1" w:rsidRPr="0020789D" w:rsidRDefault="007A58D1" w:rsidP="00034CAF">
                            <w:pPr>
                              <w:pStyle w:val="08ArticleText"/>
                              <w:spacing w:line="276" w:lineRule="auto"/>
                              <w:jc w:val="center"/>
                              <w:rPr>
                                <w:lang w:val="en-US" w:eastAsia="ja-JP"/>
                              </w:rPr>
                            </w:pPr>
                            <w:r>
                              <w:rPr>
                                <w:lang w:val="en-US" w:eastAsia="ja-JP"/>
                              </w:rPr>
                              <w:t>Corner</w:t>
                            </w:r>
                          </w:p>
                        </w:tc>
                        <w:tc>
                          <w:tcPr>
                            <w:tcW w:w="721" w:type="dxa"/>
                            <w:shd w:val="clear" w:color="auto" w:fill="D9D9D9" w:themeFill="background1" w:themeFillShade="D9"/>
                          </w:tcPr>
                          <w:p w14:paraId="0CD038E5" w14:textId="77777777" w:rsidR="007A58D1" w:rsidRPr="0020789D" w:rsidRDefault="007A58D1" w:rsidP="00034CAF">
                            <w:pPr>
                              <w:pStyle w:val="08ArticleText"/>
                              <w:spacing w:line="276" w:lineRule="auto"/>
                              <w:jc w:val="center"/>
                              <w:rPr>
                                <w:lang w:val="en-US" w:eastAsia="ja-JP"/>
                              </w:rPr>
                            </w:pPr>
                            <w:r>
                              <w:rPr>
                                <w:lang w:val="en-US" w:eastAsia="ja-JP"/>
                              </w:rPr>
                              <w:t>Edge</w:t>
                            </w:r>
                          </w:p>
                        </w:tc>
                        <w:tc>
                          <w:tcPr>
                            <w:tcW w:w="721" w:type="dxa"/>
                            <w:shd w:val="clear" w:color="auto" w:fill="D9D9D9" w:themeFill="background1" w:themeFillShade="D9"/>
                            <w:vAlign w:val="center"/>
                          </w:tcPr>
                          <w:p w14:paraId="2B23504E" w14:textId="77777777" w:rsidR="007A58D1" w:rsidRPr="0020789D" w:rsidRDefault="007A58D1" w:rsidP="00034CAF">
                            <w:pPr>
                              <w:pStyle w:val="08ArticleText"/>
                              <w:spacing w:line="276" w:lineRule="auto"/>
                              <w:jc w:val="center"/>
                              <w:rPr>
                                <w:lang w:val="en-US" w:eastAsia="ja-JP"/>
                              </w:rPr>
                            </w:pPr>
                            <w:r>
                              <w:rPr>
                                <w:lang w:val="en-US" w:eastAsia="ja-JP"/>
                              </w:rPr>
                              <w:t>Face</w:t>
                            </w:r>
                          </w:p>
                        </w:tc>
                      </w:tr>
                      <w:tr w:rsidR="007A58D1" w:rsidRPr="00622B23" w14:paraId="11AC8D51" w14:textId="77777777" w:rsidTr="00034CAF">
                        <w:trPr>
                          <w:trHeight w:val="255"/>
                          <w:jc w:val="center"/>
                        </w:trPr>
                        <w:tc>
                          <w:tcPr>
                            <w:tcW w:w="1127" w:type="dxa"/>
                            <w:tcMar>
                              <w:top w:w="15" w:type="dxa"/>
                              <w:left w:w="108" w:type="dxa"/>
                              <w:bottom w:w="0" w:type="dxa"/>
                              <w:right w:w="108" w:type="dxa"/>
                            </w:tcMar>
                            <w:vAlign w:val="center"/>
                            <w:hideMark/>
                          </w:tcPr>
                          <w:p w14:paraId="37354E2D" w14:textId="77777777" w:rsidR="007A58D1" w:rsidRPr="000D536E" w:rsidRDefault="007A58D1" w:rsidP="00034CAF">
                            <w:pPr>
                              <w:pStyle w:val="08ArticleText"/>
                              <w:spacing w:line="276" w:lineRule="auto"/>
                              <w:rPr>
                                <w:lang w:val="en-US" w:eastAsia="ja-JP"/>
                              </w:rPr>
                            </w:pPr>
                            <w:r>
                              <w:rPr>
                                <w:lang w:val="en-US" w:eastAsia="ja-JP"/>
                              </w:rPr>
                              <w:t>P</w:t>
                            </w:r>
                            <w:r w:rsidRPr="00034CAF">
                              <w:rPr>
                                <w:vertAlign w:val="subscript"/>
                                <w:lang w:val="en-US" w:eastAsia="ja-JP"/>
                              </w:rPr>
                              <w:t>2</w:t>
                            </w:r>
                            <w:r>
                              <w:rPr>
                                <w:lang w:val="en-US" w:eastAsia="ja-JP"/>
                              </w:rPr>
                              <w:t>O</w:t>
                            </w:r>
                            <w:r w:rsidRPr="00034CAF">
                              <w:rPr>
                                <w:vertAlign w:val="subscript"/>
                                <w:lang w:val="en-US" w:eastAsia="ja-JP"/>
                              </w:rPr>
                              <w:t>5</w:t>
                            </w:r>
                            <w:r>
                              <w:rPr>
                                <w:lang w:val="en-US" w:eastAsia="ja-JP"/>
                              </w:rPr>
                              <w:t xml:space="preserve"> glass</w:t>
                            </w:r>
                          </w:p>
                        </w:tc>
                        <w:tc>
                          <w:tcPr>
                            <w:tcW w:w="718" w:type="dxa"/>
                            <w:vAlign w:val="center"/>
                          </w:tcPr>
                          <w:p w14:paraId="1304F17D"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7" w:type="dxa"/>
                          </w:tcPr>
                          <w:p w14:paraId="3FB0F36B" w14:textId="77777777" w:rsidR="007A58D1" w:rsidRPr="002C1A46" w:rsidRDefault="007A58D1" w:rsidP="00034CAF">
                            <w:pPr>
                              <w:pStyle w:val="08ArticleText"/>
                              <w:spacing w:line="276" w:lineRule="auto"/>
                              <w:jc w:val="center"/>
                              <w:rPr>
                                <w:lang w:val="en-US" w:eastAsia="ja-JP"/>
                              </w:rPr>
                            </w:pPr>
                            <w:r w:rsidRPr="002C1A46">
                              <w:rPr>
                                <w:lang w:val="en-US" w:eastAsia="ja-JP"/>
                              </w:rPr>
                              <w:t>99.9</w:t>
                            </w:r>
                          </w:p>
                        </w:tc>
                        <w:tc>
                          <w:tcPr>
                            <w:tcW w:w="727" w:type="dxa"/>
                            <w:vAlign w:val="center"/>
                          </w:tcPr>
                          <w:p w14:paraId="027733C1"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18" w:type="dxa"/>
                            <w:vAlign w:val="center"/>
                          </w:tcPr>
                          <w:p w14:paraId="32092B76" w14:textId="77777777" w:rsidR="007A58D1" w:rsidRPr="002C1A46" w:rsidRDefault="007A58D1" w:rsidP="00034CAF">
                            <w:pPr>
                              <w:pStyle w:val="08ArticleText"/>
                              <w:spacing w:line="276" w:lineRule="auto"/>
                              <w:jc w:val="center"/>
                              <w:rPr>
                                <w:lang w:val="en-US" w:eastAsia="ja-JP"/>
                              </w:rPr>
                            </w:pPr>
                            <w:r w:rsidRPr="002C1A46">
                              <w:rPr>
                                <w:lang w:val="en-US" w:eastAsia="ja-JP"/>
                              </w:rPr>
                              <w:t>40.0</w:t>
                            </w:r>
                          </w:p>
                        </w:tc>
                        <w:tc>
                          <w:tcPr>
                            <w:tcW w:w="727" w:type="dxa"/>
                          </w:tcPr>
                          <w:p w14:paraId="24D51820" w14:textId="77777777" w:rsidR="007A58D1" w:rsidRPr="002C1A46" w:rsidRDefault="007A58D1" w:rsidP="00034CAF">
                            <w:pPr>
                              <w:pStyle w:val="08ArticleText"/>
                              <w:spacing w:line="276" w:lineRule="auto"/>
                              <w:jc w:val="center"/>
                              <w:rPr>
                                <w:lang w:val="en-US" w:eastAsia="ja-JP"/>
                              </w:rPr>
                            </w:pPr>
                            <w:r w:rsidRPr="002C1A46">
                              <w:rPr>
                                <w:lang w:val="en-US" w:eastAsia="ja-JP"/>
                              </w:rPr>
                              <w:t>60.0</w:t>
                            </w:r>
                          </w:p>
                        </w:tc>
                        <w:tc>
                          <w:tcPr>
                            <w:tcW w:w="727" w:type="dxa"/>
                            <w:vAlign w:val="center"/>
                          </w:tcPr>
                          <w:p w14:paraId="1E0B4E55"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32C8CA07" w14:textId="77777777" w:rsidR="007A58D1" w:rsidRPr="002C1A46" w:rsidRDefault="007A58D1" w:rsidP="00034CAF">
                            <w:pPr>
                              <w:pStyle w:val="08ArticleText"/>
                              <w:spacing w:line="276" w:lineRule="auto"/>
                              <w:jc w:val="center"/>
                              <w:rPr>
                                <w:lang w:val="en-US" w:eastAsia="ja-JP"/>
                              </w:rPr>
                            </w:pPr>
                            <w:r w:rsidRPr="002C1A46">
                              <w:rPr>
                                <w:lang w:val="en-US" w:eastAsia="ja-JP"/>
                              </w:rPr>
                              <w:t>100.0</w:t>
                            </w:r>
                          </w:p>
                        </w:tc>
                        <w:tc>
                          <w:tcPr>
                            <w:tcW w:w="721" w:type="dxa"/>
                          </w:tcPr>
                          <w:p w14:paraId="5BFB3C64"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5048BDF7"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r>
                      <w:tr w:rsidR="007A58D1" w:rsidRPr="00622B23" w14:paraId="76671301" w14:textId="77777777" w:rsidTr="00034CAF">
                        <w:trPr>
                          <w:trHeight w:val="110"/>
                          <w:jc w:val="center"/>
                        </w:trPr>
                        <w:tc>
                          <w:tcPr>
                            <w:tcW w:w="1127" w:type="dxa"/>
                            <w:tcMar>
                              <w:top w:w="15" w:type="dxa"/>
                              <w:left w:w="108" w:type="dxa"/>
                              <w:bottom w:w="0" w:type="dxa"/>
                              <w:right w:w="108" w:type="dxa"/>
                            </w:tcMar>
                            <w:vAlign w:val="center"/>
                          </w:tcPr>
                          <w:p w14:paraId="23B61513" w14:textId="77777777" w:rsidR="007A58D1" w:rsidRPr="000D536E" w:rsidRDefault="007A58D1" w:rsidP="00034CAF">
                            <w:pPr>
                              <w:pStyle w:val="08ArticleText"/>
                              <w:spacing w:line="276" w:lineRule="auto"/>
                              <w:rPr>
                                <w:lang w:val="en-US" w:eastAsia="ja-JP"/>
                              </w:rPr>
                            </w:pPr>
                            <w:r>
                              <w:rPr>
                                <w:lang w:val="en-US" w:eastAsia="ja-JP"/>
                              </w:rPr>
                              <w:t>SiO</w:t>
                            </w:r>
                            <w:r w:rsidRPr="00034CAF">
                              <w:rPr>
                                <w:vertAlign w:val="subscript"/>
                                <w:lang w:val="en-US" w:eastAsia="ja-JP"/>
                              </w:rPr>
                              <w:t>2</w:t>
                            </w:r>
                            <w:r>
                              <w:rPr>
                                <w:lang w:val="en-US" w:eastAsia="ja-JP"/>
                              </w:rPr>
                              <w:t xml:space="preserve"> glass</w:t>
                            </w:r>
                          </w:p>
                        </w:tc>
                        <w:tc>
                          <w:tcPr>
                            <w:tcW w:w="718" w:type="dxa"/>
                            <w:vAlign w:val="center"/>
                          </w:tcPr>
                          <w:p w14:paraId="1B5339AB"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7" w:type="dxa"/>
                          </w:tcPr>
                          <w:p w14:paraId="62D81EB3" w14:textId="77777777" w:rsidR="007A58D1" w:rsidRPr="002C1A46" w:rsidRDefault="007A58D1" w:rsidP="00034CAF">
                            <w:pPr>
                              <w:pStyle w:val="08ArticleText"/>
                              <w:spacing w:line="276" w:lineRule="auto"/>
                              <w:jc w:val="center"/>
                              <w:rPr>
                                <w:lang w:val="en-US" w:eastAsia="ja-JP"/>
                              </w:rPr>
                            </w:pPr>
                            <w:r w:rsidRPr="002C1A46">
                              <w:rPr>
                                <w:lang w:val="en-US" w:eastAsia="ja-JP"/>
                              </w:rPr>
                              <w:t>99.8</w:t>
                            </w:r>
                          </w:p>
                        </w:tc>
                        <w:tc>
                          <w:tcPr>
                            <w:tcW w:w="727" w:type="dxa"/>
                            <w:vAlign w:val="center"/>
                          </w:tcPr>
                          <w:p w14:paraId="181EA11B"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18" w:type="dxa"/>
                            <w:vAlign w:val="center"/>
                          </w:tcPr>
                          <w:p w14:paraId="6A1747BF"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7" w:type="dxa"/>
                          </w:tcPr>
                          <w:p w14:paraId="1A285A68" w14:textId="77777777" w:rsidR="007A58D1" w:rsidRPr="002C1A46" w:rsidRDefault="007A58D1" w:rsidP="00034CAF">
                            <w:pPr>
                              <w:pStyle w:val="08ArticleText"/>
                              <w:spacing w:line="276" w:lineRule="auto"/>
                              <w:jc w:val="center"/>
                              <w:rPr>
                                <w:lang w:val="en-US" w:eastAsia="ja-JP"/>
                              </w:rPr>
                            </w:pPr>
                            <w:r w:rsidRPr="002C1A46">
                              <w:rPr>
                                <w:lang w:val="en-US" w:eastAsia="ja-JP"/>
                              </w:rPr>
                              <w:t>99.9</w:t>
                            </w:r>
                          </w:p>
                        </w:tc>
                        <w:tc>
                          <w:tcPr>
                            <w:tcW w:w="727" w:type="dxa"/>
                            <w:vAlign w:val="center"/>
                          </w:tcPr>
                          <w:p w14:paraId="19211077" w14:textId="77777777" w:rsidR="007A58D1" w:rsidRPr="002C1A46" w:rsidRDefault="007A58D1" w:rsidP="00034CAF">
                            <w:pPr>
                              <w:pStyle w:val="08ArticleText"/>
                              <w:spacing w:line="276" w:lineRule="auto"/>
                              <w:jc w:val="center"/>
                              <w:rPr>
                                <w:lang w:val="en-US" w:eastAsia="ja-JP"/>
                              </w:rPr>
                            </w:pPr>
                            <w:r w:rsidRPr="002C1A46">
                              <w:rPr>
                                <w:lang w:val="en-US" w:eastAsia="ja-JP"/>
                              </w:rPr>
                              <w:t>0.1</w:t>
                            </w:r>
                          </w:p>
                        </w:tc>
                        <w:tc>
                          <w:tcPr>
                            <w:tcW w:w="721" w:type="dxa"/>
                            <w:vAlign w:val="center"/>
                          </w:tcPr>
                          <w:p w14:paraId="2481600D" w14:textId="77777777" w:rsidR="007A58D1" w:rsidRPr="002C1A46" w:rsidRDefault="007A58D1" w:rsidP="00034CAF">
                            <w:pPr>
                              <w:pStyle w:val="08ArticleText"/>
                              <w:spacing w:line="276" w:lineRule="auto"/>
                              <w:jc w:val="center"/>
                              <w:rPr>
                                <w:lang w:val="en-US" w:eastAsia="ja-JP"/>
                              </w:rPr>
                            </w:pPr>
                            <w:r w:rsidRPr="002C1A46">
                              <w:rPr>
                                <w:lang w:val="en-US" w:eastAsia="ja-JP"/>
                              </w:rPr>
                              <w:t>100.0</w:t>
                            </w:r>
                          </w:p>
                        </w:tc>
                        <w:tc>
                          <w:tcPr>
                            <w:tcW w:w="721" w:type="dxa"/>
                          </w:tcPr>
                          <w:p w14:paraId="124E9CC1"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c>
                          <w:tcPr>
                            <w:tcW w:w="721" w:type="dxa"/>
                            <w:vAlign w:val="center"/>
                          </w:tcPr>
                          <w:p w14:paraId="6CE05D45" w14:textId="77777777" w:rsidR="007A58D1" w:rsidRPr="002C1A46" w:rsidRDefault="007A58D1" w:rsidP="00034CAF">
                            <w:pPr>
                              <w:pStyle w:val="08ArticleText"/>
                              <w:spacing w:line="276" w:lineRule="auto"/>
                              <w:jc w:val="center"/>
                              <w:rPr>
                                <w:lang w:val="en-US" w:eastAsia="ja-JP"/>
                              </w:rPr>
                            </w:pPr>
                            <w:r w:rsidRPr="002C1A46">
                              <w:rPr>
                                <w:lang w:val="en-US" w:eastAsia="ja-JP"/>
                              </w:rPr>
                              <w:t>0.0</w:t>
                            </w:r>
                          </w:p>
                        </w:tc>
                      </w:tr>
                    </w:tbl>
                    <w:p w14:paraId="6B50FFA0" w14:textId="77777777" w:rsidR="007A58D1" w:rsidRPr="00D04A8F" w:rsidRDefault="007A58D1" w:rsidP="007A58D1">
                      <w:pPr>
                        <w:pStyle w:val="RSCT01TableTitlewithtopbar"/>
                        <w:rPr>
                          <w:sz w:val="18"/>
                          <w:szCs w:val="18"/>
                          <w:lang w:val="en-US" w:eastAsia="ja-JP"/>
                        </w:rPr>
                      </w:pPr>
                    </w:p>
                    <w:p w14:paraId="1D6B9D7B" w14:textId="77777777" w:rsidR="007A58D1" w:rsidRDefault="007A58D1" w:rsidP="007A58D1"/>
                  </w:txbxContent>
                </v:textbox>
                <w10:wrap type="square"/>
              </v:shape>
            </w:pict>
          </mc:Fallback>
        </mc:AlternateContent>
      </w:r>
      <w:r w:rsidR="001E7CBF" w:rsidRPr="002C1A46">
        <w:t>demonstrate that our approach successfully constructs a markedly reasonable and physically consistent atomic arrangement in real space while maintaining the excellent fitting to the experimental structure factors.</w:t>
      </w:r>
      <w:r w:rsidR="007E3E18">
        <w:t xml:space="preserve"> </w:t>
      </w:r>
      <w:r w:rsidR="007E3E18" w:rsidRPr="00CE59FF">
        <w:rPr>
          <w:color w:val="000000" w:themeColor="text1"/>
        </w:rPr>
        <w:t>A detailed comparison with the previous RMC model is provided in the Supporting Information (Section S3, Figs. S1 and S2).</w:t>
      </w:r>
    </w:p>
    <w:p w14:paraId="07A99195" w14:textId="21799474" w:rsidR="00481738" w:rsidRPr="002C1A46" w:rsidRDefault="00481738" w:rsidP="00481738">
      <w:pPr>
        <w:pStyle w:val="08ArticleText"/>
        <w:spacing w:line="276" w:lineRule="auto"/>
        <w:ind w:firstLineChars="150" w:firstLine="291"/>
      </w:pPr>
      <w:r w:rsidRPr="002C1A46">
        <w:t xml:space="preserve">The bond-angle distributions calculated from the RMC–MD models (Fig. 3(a)) show that both O–P–O and O–Si–O bond angles exhibit sharp peaks around 109°, indicating that </w:t>
      </w:r>
      <w:bookmarkStart w:id="4" w:name="OLE_LINK9"/>
      <w:r w:rsidRPr="002C1A46">
        <w:t>PO</w:t>
      </w:r>
      <w:r w:rsidRPr="002C1A46">
        <w:rPr>
          <w:vertAlign w:val="subscript"/>
        </w:rPr>
        <w:t>4</w:t>
      </w:r>
      <w:r w:rsidRPr="002C1A46">
        <w:t xml:space="preserve"> and SiO</w:t>
      </w:r>
      <w:r w:rsidRPr="002C1A46">
        <w:rPr>
          <w:vertAlign w:val="subscript"/>
        </w:rPr>
        <w:t>4</w:t>
      </w:r>
      <w:r w:rsidRPr="002C1A46">
        <w:t xml:space="preserve"> tetrahedra</w:t>
      </w:r>
      <w:bookmarkEnd w:id="4"/>
      <w:r w:rsidRPr="002C1A46">
        <w:t xml:space="preserve"> retain nearly ideal tetrahedral geometry. In contrast, the other bond angles related to inter-tetrahedral correlations, particularly the P–P–P bond angles, are significantly broader in </w:t>
      </w:r>
      <w:bookmarkStart w:id="5" w:name="OLE_LINK10"/>
      <w:r w:rsidRPr="002C1A46">
        <w:t>P</w:t>
      </w:r>
      <w:r w:rsidRPr="002C1A46">
        <w:rPr>
          <w:vertAlign w:val="subscript"/>
        </w:rPr>
        <w:t>2</w:t>
      </w:r>
      <w:r w:rsidRPr="002C1A46">
        <w:t>O</w:t>
      </w:r>
      <w:r w:rsidRPr="002C1A46">
        <w:rPr>
          <w:vertAlign w:val="subscript"/>
        </w:rPr>
        <w:t>5</w:t>
      </w:r>
      <w:r w:rsidRPr="002C1A46">
        <w:t xml:space="preserve"> glass </w:t>
      </w:r>
      <w:bookmarkEnd w:id="5"/>
      <w:r w:rsidRPr="002C1A46">
        <w:t xml:space="preserve">than in </w:t>
      </w:r>
      <w:bookmarkStart w:id="6" w:name="OLE_LINK11"/>
      <w:r w:rsidRPr="002C1A46">
        <w:t>SiO</w:t>
      </w:r>
      <w:r w:rsidRPr="002C1A46">
        <w:rPr>
          <w:vertAlign w:val="subscript"/>
        </w:rPr>
        <w:t>2</w:t>
      </w:r>
      <w:r w:rsidRPr="002C1A46">
        <w:t xml:space="preserve"> glass</w:t>
      </w:r>
      <w:bookmarkEnd w:id="6"/>
      <w:r w:rsidRPr="002C1A46">
        <w:t>, suggesting a higher degree of structural disorder at the intermediate-range scale. These results are consistent with the FZ partial structure factors (Fig. 2(a)), particularly at the characteristic peak positions in the low-</w:t>
      </w:r>
      <w:r w:rsidRPr="002C1A46">
        <w:rPr>
          <w:i/>
          <w:iCs/>
        </w:rPr>
        <w:t>Q</w:t>
      </w:r>
      <w:r w:rsidRPr="002C1A46">
        <w:t xml:space="preserve"> region. Therefore, while well-defined PO</w:t>
      </w:r>
      <w:r w:rsidRPr="002C1A46">
        <w:rPr>
          <w:vertAlign w:val="subscript"/>
        </w:rPr>
        <w:t>4</w:t>
      </w:r>
      <w:r w:rsidRPr="002C1A46">
        <w:t xml:space="preserve"> tetrahedra establish robust short-range order, the intermediate-range structure in P</w:t>
      </w:r>
      <w:r w:rsidRPr="002C1A46">
        <w:rPr>
          <w:vertAlign w:val="subscript"/>
        </w:rPr>
        <w:t>2</w:t>
      </w:r>
      <w:r w:rsidRPr="002C1A46">
        <w:t>O</w:t>
      </w:r>
      <w:r w:rsidRPr="002C1A46">
        <w:rPr>
          <w:vertAlign w:val="subscript"/>
        </w:rPr>
        <w:t>5</w:t>
      </w:r>
      <w:r w:rsidRPr="002C1A46">
        <w:t xml:space="preserve"> glass is more disordered than that in SiO</w:t>
      </w:r>
      <w:r w:rsidRPr="002C1A46">
        <w:rPr>
          <w:vertAlign w:val="subscript"/>
        </w:rPr>
        <w:t>2</w:t>
      </w:r>
      <w:r w:rsidRPr="002C1A46">
        <w:t xml:space="preserve"> glass.</w:t>
      </w:r>
    </w:p>
    <w:p w14:paraId="243078F4" w14:textId="5C1CEF2C" w:rsidR="00481738" w:rsidRPr="002C1A46" w:rsidRDefault="00481738" w:rsidP="00481738">
      <w:pPr>
        <w:pStyle w:val="08ArticleText"/>
        <w:spacing w:line="276" w:lineRule="auto"/>
        <w:ind w:firstLineChars="150" w:firstLine="291"/>
      </w:pPr>
      <w:r w:rsidRPr="002C1A46">
        <w:t xml:space="preserve">Figure 4 compares the BT partial structure factors, </w:t>
      </w:r>
      <w:proofErr w:type="spellStart"/>
      <w:r w:rsidRPr="002C1A46">
        <w:rPr>
          <w:i/>
          <w:iCs/>
        </w:rPr>
        <w:t>S</w:t>
      </w:r>
      <w:r w:rsidRPr="002C1A46">
        <w:rPr>
          <w:i/>
          <w:iCs/>
          <w:vertAlign w:val="subscript"/>
        </w:rPr>
        <w:t>ij</w:t>
      </w:r>
      <w:proofErr w:type="spellEnd"/>
      <w:r w:rsidRPr="002C1A46">
        <w:t>(</w:t>
      </w:r>
      <w:r w:rsidRPr="002C1A46">
        <w:rPr>
          <w:i/>
          <w:iCs/>
        </w:rPr>
        <w:t>Q</w:t>
      </w:r>
      <w:r w:rsidRPr="002C1A46">
        <w:t>) between P</w:t>
      </w:r>
      <w:r w:rsidRPr="002C1A46">
        <w:rPr>
          <w:vertAlign w:val="subscript"/>
        </w:rPr>
        <w:t>2</w:t>
      </w:r>
      <w:r w:rsidRPr="002C1A46">
        <w:t>O</w:t>
      </w:r>
      <w:r w:rsidRPr="002C1A46">
        <w:rPr>
          <w:vertAlign w:val="subscript"/>
        </w:rPr>
        <w:t>5</w:t>
      </w:r>
      <w:r w:rsidRPr="002C1A46">
        <w:t xml:space="preserve"> and SiO</w:t>
      </w:r>
      <w:r w:rsidRPr="002C1A46">
        <w:rPr>
          <w:vertAlign w:val="subscript"/>
        </w:rPr>
        <w:t>2</w:t>
      </w:r>
      <w:r w:rsidRPr="002C1A46">
        <w:t xml:space="preserve"> glasses. In P</w:t>
      </w:r>
      <w:r w:rsidRPr="002C1A46">
        <w:rPr>
          <w:vertAlign w:val="subscript"/>
        </w:rPr>
        <w:t>2</w:t>
      </w:r>
      <w:r w:rsidRPr="002C1A46">
        <w:t>O</w:t>
      </w:r>
      <w:r w:rsidRPr="002C1A46">
        <w:rPr>
          <w:vertAlign w:val="subscript"/>
        </w:rPr>
        <w:t>5</w:t>
      </w:r>
      <w:r w:rsidRPr="002C1A46">
        <w:t xml:space="preserve"> glass, the </w:t>
      </w:r>
      <w:r w:rsidRPr="002C1A46">
        <w:rPr>
          <w:i/>
          <w:iCs/>
        </w:rPr>
        <w:t>S</w:t>
      </w:r>
      <w:r w:rsidRPr="002C1A46">
        <w:rPr>
          <w:vertAlign w:val="subscript"/>
        </w:rPr>
        <w:t>NN</w:t>
      </w:r>
      <w:r w:rsidRPr="002C1A46">
        <w:t>(</w:t>
      </w:r>
      <w:r w:rsidRPr="002C1A46">
        <w:rPr>
          <w:i/>
          <w:iCs/>
        </w:rPr>
        <w:t>Q</w:t>
      </w:r>
      <w:r w:rsidRPr="002C1A46">
        <w:t>) exhibits a clear doublet peak close to the FSDP of SiO</w:t>
      </w:r>
      <w:r w:rsidRPr="002C1A46">
        <w:rPr>
          <w:vertAlign w:val="subscript"/>
        </w:rPr>
        <w:t>2</w:t>
      </w:r>
      <w:r w:rsidRPr="002C1A46">
        <w:t xml:space="preserve"> glass, while the </w:t>
      </w:r>
      <w:r w:rsidRPr="002C1A46">
        <w:rPr>
          <w:i/>
          <w:iCs/>
        </w:rPr>
        <w:t>S</w:t>
      </w:r>
      <w:r w:rsidRPr="002C1A46">
        <w:rPr>
          <w:vertAlign w:val="subscript"/>
        </w:rPr>
        <w:t>CC</w:t>
      </w:r>
      <w:r w:rsidRPr="002C1A46">
        <w:t>(</w:t>
      </w:r>
      <w:r w:rsidRPr="002C1A46">
        <w:rPr>
          <w:i/>
          <w:iCs/>
        </w:rPr>
        <w:t>Q</w:t>
      </w:r>
      <w:r w:rsidRPr="002C1A46">
        <w:t>) exhibits a peak close to the PP of SiO</w:t>
      </w:r>
      <w:r w:rsidRPr="002C1A46">
        <w:rPr>
          <w:vertAlign w:val="subscript"/>
        </w:rPr>
        <w:t>2</w:t>
      </w:r>
      <w:r w:rsidRPr="002C1A46">
        <w:t xml:space="preserve"> glass, indicating that the two low-</w:t>
      </w:r>
      <w:r w:rsidRPr="002C1A46">
        <w:rPr>
          <w:i/>
          <w:iCs/>
        </w:rPr>
        <w:t>Q</w:t>
      </w:r>
      <w:r w:rsidRPr="002C1A46">
        <w:t xml:space="preserve"> peaks in the neutron </w:t>
      </w:r>
      <w:r w:rsidRPr="002C1A46">
        <w:rPr>
          <w:i/>
          <w:iCs/>
        </w:rPr>
        <w:t>S</w:t>
      </w:r>
      <w:r w:rsidRPr="002C1A46">
        <w:t>(</w:t>
      </w:r>
      <w:r w:rsidRPr="002C1A46">
        <w:rPr>
          <w:i/>
          <w:iCs/>
        </w:rPr>
        <w:t>Q</w:t>
      </w:r>
      <w:r w:rsidRPr="002C1A46">
        <w:t xml:space="preserve">) (and the corresponding two peaks in the X-ray </w:t>
      </w:r>
      <w:r w:rsidRPr="002C1A46">
        <w:rPr>
          <w:i/>
          <w:iCs/>
        </w:rPr>
        <w:t>S</w:t>
      </w:r>
      <w:r w:rsidRPr="002C1A46">
        <w:t>(</w:t>
      </w:r>
      <w:r w:rsidRPr="002C1A46">
        <w:rPr>
          <w:i/>
          <w:iCs/>
        </w:rPr>
        <w:t>Q</w:t>
      </w:r>
      <w:r w:rsidRPr="002C1A46">
        <w:t xml:space="preserve">)) correspond to the FSDP, and the third peak observed only in the neutron </w:t>
      </w:r>
      <w:r w:rsidRPr="002C1A46">
        <w:rPr>
          <w:i/>
          <w:iCs/>
        </w:rPr>
        <w:t>S</w:t>
      </w:r>
      <w:r w:rsidRPr="002C1A46">
        <w:t>(</w:t>
      </w:r>
      <w:r w:rsidRPr="002C1A46">
        <w:rPr>
          <w:i/>
          <w:iCs/>
        </w:rPr>
        <w:t>Q</w:t>
      </w:r>
      <w:r w:rsidRPr="002C1A46">
        <w:t>) corresponds to the PP in P</w:t>
      </w:r>
      <w:r w:rsidRPr="002C1A46">
        <w:rPr>
          <w:vertAlign w:val="subscript"/>
        </w:rPr>
        <w:t>2</w:t>
      </w:r>
      <w:r w:rsidRPr="002C1A46">
        <w:t>O</w:t>
      </w:r>
      <w:r w:rsidRPr="002C1A46">
        <w:rPr>
          <w:vertAlign w:val="subscript"/>
        </w:rPr>
        <w:t>5</w:t>
      </w:r>
      <w:r w:rsidRPr="002C1A46">
        <w:t xml:space="preserve"> glass. In AX</w:t>
      </w:r>
      <w:r w:rsidRPr="002C1A46">
        <w:rPr>
          <w:vertAlign w:val="subscript"/>
        </w:rPr>
        <w:t>2</w:t>
      </w:r>
      <w:r w:rsidRPr="002C1A46">
        <w:t xml:space="preserve"> network-forming glasses including SiO</w:t>
      </w:r>
      <w:r w:rsidRPr="002C1A46">
        <w:rPr>
          <w:vertAlign w:val="subscript"/>
        </w:rPr>
        <w:t>2</w:t>
      </w:r>
      <w:r w:rsidRPr="002C1A46">
        <w:t>,</w:t>
      </w:r>
      <w:r w:rsidR="00B67377" w:rsidRPr="002C1A46">
        <w:t xml:space="preserve"> </w:t>
      </w:r>
      <w:r w:rsidRPr="002C1A46">
        <w:t xml:space="preserve">the FSDP in </w:t>
      </w:r>
      <w:r w:rsidRPr="002C1A46">
        <w:rPr>
          <w:i/>
          <w:iCs/>
        </w:rPr>
        <w:t>S</w:t>
      </w:r>
      <w:r w:rsidRPr="002C1A46">
        <w:rPr>
          <w:vertAlign w:val="subscript"/>
        </w:rPr>
        <w:t>NN</w:t>
      </w:r>
      <w:r w:rsidRPr="002C1A46">
        <w:t>(</w:t>
      </w:r>
      <w:r w:rsidRPr="002C1A46">
        <w:rPr>
          <w:i/>
          <w:iCs/>
        </w:rPr>
        <w:t>Q</w:t>
      </w:r>
      <w:r w:rsidRPr="002C1A46">
        <w:t>) ref</w:t>
      </w:r>
      <w:r w:rsidR="00D3337E" w:rsidRPr="002C1A46">
        <w:t>l</w:t>
      </w:r>
      <w:r w:rsidRPr="002C1A46">
        <w:t xml:space="preserve">ects topological ordering, whereas chemical ordering is captured in </w:t>
      </w:r>
      <w:r w:rsidRPr="002C1A46">
        <w:rPr>
          <w:i/>
          <w:iCs/>
        </w:rPr>
        <w:t>S</w:t>
      </w:r>
      <w:r w:rsidRPr="002C1A46">
        <w:rPr>
          <w:vertAlign w:val="subscript"/>
        </w:rPr>
        <w:t>CC</w:t>
      </w:r>
      <w:r w:rsidRPr="002C1A46">
        <w:t>(</w:t>
      </w:r>
      <w:r w:rsidRPr="002C1A46">
        <w:rPr>
          <w:i/>
          <w:iCs/>
        </w:rPr>
        <w:t>Q</w:t>
      </w:r>
      <w:r w:rsidRPr="002C1A46">
        <w:t>).</w:t>
      </w:r>
      <w:r w:rsidR="007F0110" w:rsidRPr="002C1A46">
        <w:rPr>
          <w:vertAlign w:val="superscript"/>
        </w:rPr>
        <w:t>30</w:t>
      </w:r>
      <w:r w:rsidRPr="002C1A46">
        <w:rPr>
          <w:vertAlign w:val="superscript"/>
        </w:rPr>
        <w:t>,</w:t>
      </w:r>
      <w:r w:rsidR="007F0110" w:rsidRPr="002C1A46">
        <w:rPr>
          <w:vertAlign w:val="superscript"/>
        </w:rPr>
        <w:t>44</w:t>
      </w:r>
      <w:r w:rsidRPr="002C1A46">
        <w:rPr>
          <w:vertAlign w:val="superscript"/>
        </w:rPr>
        <w:t>,</w:t>
      </w:r>
      <w:r w:rsidR="007F0110" w:rsidRPr="002C1A46">
        <w:rPr>
          <w:vertAlign w:val="superscript"/>
        </w:rPr>
        <w:t>45</w:t>
      </w:r>
      <w:r w:rsidRPr="002C1A46">
        <w:t xml:space="preserve"> In SiO</w:t>
      </w:r>
      <w:r w:rsidRPr="002C1A46">
        <w:rPr>
          <w:vertAlign w:val="subscript"/>
        </w:rPr>
        <w:t>2</w:t>
      </w:r>
      <w:r w:rsidRPr="002C1A46">
        <w:t xml:space="preserve"> glass, the FSDP appears predominantly in the </w:t>
      </w:r>
      <w:r w:rsidRPr="002C1A46">
        <w:rPr>
          <w:i/>
          <w:iCs/>
        </w:rPr>
        <w:t>S</w:t>
      </w:r>
      <w:r w:rsidRPr="002C1A46">
        <w:rPr>
          <w:vertAlign w:val="subscript"/>
        </w:rPr>
        <w:t>NN</w:t>
      </w:r>
      <w:r w:rsidRPr="002C1A46">
        <w:t>(</w:t>
      </w:r>
      <w:r w:rsidRPr="002C1A46">
        <w:rPr>
          <w:i/>
          <w:iCs/>
        </w:rPr>
        <w:t>Q</w:t>
      </w:r>
      <w:r w:rsidRPr="002C1A46">
        <w:t>),</w:t>
      </w:r>
      <w:r w:rsidR="00F23A53" w:rsidRPr="00F23A53">
        <w:rPr>
          <w:noProof/>
          <w:w w:val="100"/>
        </w:rPr>
        <w:t xml:space="preserve"> </w:t>
      </w:r>
      <w:r w:rsidRPr="002C1A46">
        <w:t>indicating that it originates from topological ordering of</w:t>
      </w:r>
      <w:r w:rsidR="00031FBB" w:rsidRPr="002C1A46">
        <w:t xml:space="preserve"> the</w:t>
      </w:r>
      <w:r w:rsidRPr="002C1A46">
        <w:t xml:space="preserve"> SiO</w:t>
      </w:r>
      <w:r w:rsidRPr="002C1A46">
        <w:rPr>
          <w:vertAlign w:val="subscript"/>
        </w:rPr>
        <w:t>4</w:t>
      </w:r>
      <w:r w:rsidR="00F23A53" w:rsidRPr="002C1A46">
        <w:rPr>
          <w:noProof/>
          <w:w w:val="100"/>
        </w:rPr>
        <mc:AlternateContent>
          <mc:Choice Requires="wps">
            <w:drawing>
              <wp:inline distT="0" distB="0" distL="0" distR="0" wp14:anchorId="28B9256B" wp14:editId="29BE2DF2">
                <wp:extent cx="3158490" cy="2584835"/>
                <wp:effectExtent l="0" t="0" r="3810" b="0"/>
                <wp:docPr id="165832055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490" cy="2584835"/>
                        </a:xfrm>
                        <a:prstGeom prst="rect">
                          <a:avLst/>
                        </a:prstGeom>
                        <a:solidFill>
                          <a:srgbClr val="FFFFFF"/>
                        </a:solidFill>
                        <a:ln w="9525">
                          <a:noFill/>
                          <a:miter lim="800000"/>
                          <a:headEnd/>
                          <a:tailEnd/>
                        </a:ln>
                      </wps:spPr>
                      <wps:txbx>
                        <w:txbxContent>
                          <w:p w14:paraId="7456DF31" w14:textId="77777777" w:rsidR="00F23A53" w:rsidRDefault="00F23A53" w:rsidP="00F23A53">
                            <w:pPr>
                              <w:pStyle w:val="RSCI02FigureSchemeChartwithtopbar"/>
                              <w:jc w:val="center"/>
                              <w:rPr>
                                <w:lang w:val="en-US"/>
                              </w:rPr>
                            </w:pPr>
                            <w:r w:rsidRPr="004838AD">
                              <w:rPr>
                                <w:noProof/>
                              </w:rPr>
                              <w:t xml:space="preserve"> </w:t>
                            </w:r>
                            <w:r w:rsidRPr="004838AD">
                              <w:rPr>
                                <w:noProof/>
                              </w:rPr>
                              <w:drawing>
                                <wp:inline distT="0" distB="0" distL="0" distR="0" wp14:anchorId="506D7D26" wp14:editId="1367025C">
                                  <wp:extent cx="2797920" cy="1980000"/>
                                  <wp:effectExtent l="0" t="0" r="0" b="1270"/>
                                  <wp:docPr id="16368161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44538" name=""/>
                                          <pic:cNvPicPr/>
                                        </pic:nvPicPr>
                                        <pic:blipFill>
                                          <a:blip r:embed="rId18"/>
                                          <a:stretch>
                                            <a:fillRect/>
                                          </a:stretch>
                                        </pic:blipFill>
                                        <pic:spPr>
                                          <a:xfrm>
                                            <a:off x="0" y="0"/>
                                            <a:ext cx="2797920" cy="1980000"/>
                                          </a:xfrm>
                                          <a:prstGeom prst="rect">
                                            <a:avLst/>
                                          </a:prstGeom>
                                        </pic:spPr>
                                      </pic:pic>
                                    </a:graphicData>
                                  </a:graphic>
                                </wp:inline>
                              </w:drawing>
                            </w:r>
                          </w:p>
                          <w:p w14:paraId="43BD4E31" w14:textId="77777777" w:rsidR="00F23A53" w:rsidRPr="00E8155A" w:rsidRDefault="00F23A53" w:rsidP="00F23A53">
                            <w:pPr>
                              <w:pStyle w:val="RSCI02FigureSchemeChartwithtopbar"/>
                              <w:rPr>
                                <w:sz w:val="18"/>
                                <w:lang w:val="en-US"/>
                              </w:rPr>
                            </w:pPr>
                            <w:r w:rsidRPr="007A58D1">
                              <w:rPr>
                                <w:sz w:val="18"/>
                                <w:lang w:val="en-US"/>
                              </w:rPr>
                              <w:t>Fig. 3 Bond-angle distributions for P</w:t>
                            </w:r>
                            <w:r w:rsidRPr="001229E8">
                              <w:rPr>
                                <w:sz w:val="18"/>
                                <w:vertAlign w:val="subscript"/>
                                <w:lang w:val="en-US"/>
                              </w:rPr>
                              <w:t>2</w:t>
                            </w:r>
                            <w:r w:rsidRPr="007A58D1">
                              <w:rPr>
                                <w:sz w:val="18"/>
                                <w:lang w:val="en-US"/>
                              </w:rPr>
                              <w:t>O</w:t>
                            </w:r>
                            <w:r w:rsidRPr="001229E8">
                              <w:rPr>
                                <w:sz w:val="18"/>
                                <w:vertAlign w:val="subscript"/>
                                <w:lang w:val="en-US"/>
                              </w:rPr>
                              <w:t>5</w:t>
                            </w:r>
                            <w:r w:rsidRPr="007A58D1">
                              <w:rPr>
                                <w:sz w:val="18"/>
                                <w:lang w:val="en-US"/>
                              </w:rPr>
                              <w:t xml:space="preserve"> </w:t>
                            </w:r>
                            <w:r>
                              <w:rPr>
                                <w:sz w:val="18"/>
                                <w:lang w:val="en-US"/>
                              </w:rPr>
                              <w:t>(</w:t>
                            </w:r>
                            <w:r w:rsidRPr="007A58D1">
                              <w:rPr>
                                <w:sz w:val="18"/>
                                <w:lang w:val="en-US"/>
                              </w:rPr>
                              <w:t>red) and SiO</w:t>
                            </w:r>
                            <w:r w:rsidRPr="001229E8">
                              <w:rPr>
                                <w:sz w:val="18"/>
                                <w:vertAlign w:val="subscript"/>
                                <w:lang w:val="en-US"/>
                              </w:rPr>
                              <w:t>2</w:t>
                            </w:r>
                            <w:r w:rsidRPr="007A58D1">
                              <w:rPr>
                                <w:sz w:val="18"/>
                                <w:lang w:val="en-US"/>
                              </w:rPr>
                              <w:t xml:space="preserve"> (</w:t>
                            </w:r>
                            <w:r w:rsidRPr="00F772B6">
                              <w:rPr>
                                <w:sz w:val="18"/>
                                <w:lang w:val="en-US"/>
                              </w:rPr>
                              <w:t>blue</w:t>
                            </w:r>
                            <w:r w:rsidRPr="007A58D1">
                              <w:rPr>
                                <w:sz w:val="18"/>
                                <w:lang w:val="en-US"/>
                              </w:rPr>
                              <w:t>) glasses.</w:t>
                            </w:r>
                          </w:p>
                        </w:txbxContent>
                      </wps:txbx>
                      <wps:bodyPr rot="0" vert="horz" wrap="square" lIns="0" tIns="36000" rIns="0" bIns="36000" anchor="b" anchorCtr="0">
                        <a:noAutofit/>
                      </wps:bodyPr>
                    </wps:wsp>
                  </a:graphicData>
                </a:graphic>
              </wp:inline>
            </w:drawing>
          </mc:Choice>
          <mc:Fallback>
            <w:pict>
              <v:shape w14:anchorId="28B9256B" id="Text Box 2" o:spid="_x0000_s1030" type="#_x0000_t202" style="width:248.7pt;height:203.5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" stroked="f">
                <o:lock v:ext="edit" aspectratio="t"/>
                <v:textbox inset="0,1mm,0,1mm">
                  <w:txbxContent>
                    <w:p w14:paraId="7456DF31" w14:textId="77777777" w:rsidR="00F23A53" w:rsidRDefault="00F23A53" w:rsidP="00F23A53">
                      <w:pPr>
                        <w:pStyle w:val="RSCI02FigureSchemeChartwithtopbar"/>
                        <w:jc w:val="center"/>
                        <w:rPr>
                          <w:lang w:val="en-US"/>
                        </w:rPr>
                      </w:pPr>
                      <w:r w:rsidRPr="004838AD">
                        <w:rPr>
                          <w:noProof/>
                        </w:rPr>
                        <w:t xml:space="preserve"> </w:t>
                      </w:r>
                      <w:r w:rsidRPr="004838AD">
                        <w:rPr>
                          <w:noProof/>
                        </w:rPr>
                        <w:drawing>
                          <wp:inline distT="0" distB="0" distL="0" distR="0" wp14:anchorId="506D7D26" wp14:editId="1367025C">
                            <wp:extent cx="2797920" cy="1980000"/>
                            <wp:effectExtent l="0" t="0" r="0" b="1270"/>
                            <wp:docPr id="16368161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44538" name=""/>
                                    <pic:cNvPicPr/>
                                  </pic:nvPicPr>
                                  <pic:blipFill>
                                    <a:blip r:embed="rId19"/>
                                    <a:stretch>
                                      <a:fillRect/>
                                    </a:stretch>
                                  </pic:blipFill>
                                  <pic:spPr>
                                    <a:xfrm>
                                      <a:off x="0" y="0"/>
                                      <a:ext cx="2797920" cy="1980000"/>
                                    </a:xfrm>
                                    <a:prstGeom prst="rect">
                                      <a:avLst/>
                                    </a:prstGeom>
                                  </pic:spPr>
                                </pic:pic>
                              </a:graphicData>
                            </a:graphic>
                          </wp:inline>
                        </w:drawing>
                      </w:r>
                    </w:p>
                    <w:p w14:paraId="43BD4E31" w14:textId="77777777" w:rsidR="00F23A53" w:rsidRPr="00E8155A" w:rsidRDefault="00F23A53" w:rsidP="00F23A53">
                      <w:pPr>
                        <w:pStyle w:val="RSCI02FigureSchemeChartwithtopbar"/>
                        <w:rPr>
                          <w:sz w:val="18"/>
                          <w:lang w:val="en-US"/>
                        </w:rPr>
                      </w:pPr>
                      <w:r w:rsidRPr="007A58D1">
                        <w:rPr>
                          <w:sz w:val="18"/>
                          <w:lang w:val="en-US"/>
                        </w:rPr>
                        <w:t>Fig. 3 Bond-angle distributions for P</w:t>
                      </w:r>
                      <w:r w:rsidRPr="001229E8">
                        <w:rPr>
                          <w:sz w:val="18"/>
                          <w:vertAlign w:val="subscript"/>
                          <w:lang w:val="en-US"/>
                        </w:rPr>
                        <w:t>2</w:t>
                      </w:r>
                      <w:r w:rsidRPr="007A58D1">
                        <w:rPr>
                          <w:sz w:val="18"/>
                          <w:lang w:val="en-US"/>
                        </w:rPr>
                        <w:t>O</w:t>
                      </w:r>
                      <w:r w:rsidRPr="001229E8">
                        <w:rPr>
                          <w:sz w:val="18"/>
                          <w:vertAlign w:val="subscript"/>
                          <w:lang w:val="en-US"/>
                        </w:rPr>
                        <w:t>5</w:t>
                      </w:r>
                      <w:r w:rsidRPr="007A58D1">
                        <w:rPr>
                          <w:sz w:val="18"/>
                          <w:lang w:val="en-US"/>
                        </w:rPr>
                        <w:t xml:space="preserve"> </w:t>
                      </w:r>
                      <w:r>
                        <w:rPr>
                          <w:sz w:val="18"/>
                          <w:lang w:val="en-US"/>
                        </w:rPr>
                        <w:t>(</w:t>
                      </w:r>
                      <w:r w:rsidRPr="007A58D1">
                        <w:rPr>
                          <w:sz w:val="18"/>
                          <w:lang w:val="en-US"/>
                        </w:rPr>
                        <w:t>red) and SiO</w:t>
                      </w:r>
                      <w:r w:rsidRPr="001229E8">
                        <w:rPr>
                          <w:sz w:val="18"/>
                          <w:vertAlign w:val="subscript"/>
                          <w:lang w:val="en-US"/>
                        </w:rPr>
                        <w:t>2</w:t>
                      </w:r>
                      <w:r w:rsidRPr="007A58D1">
                        <w:rPr>
                          <w:sz w:val="18"/>
                          <w:lang w:val="en-US"/>
                        </w:rPr>
                        <w:t xml:space="preserve"> (</w:t>
                      </w:r>
                      <w:r w:rsidRPr="00F772B6">
                        <w:rPr>
                          <w:sz w:val="18"/>
                          <w:lang w:val="en-US"/>
                        </w:rPr>
                        <w:t>blue</w:t>
                      </w:r>
                      <w:r w:rsidRPr="007A58D1">
                        <w:rPr>
                          <w:sz w:val="18"/>
                          <w:lang w:val="en-US"/>
                        </w:rPr>
                        <w:t>) glasses.</w:t>
                      </w:r>
                    </w:p>
                  </w:txbxContent>
                </v:textbox>
                <w10:anchorlock/>
              </v:shape>
            </w:pict>
          </mc:Fallback>
        </mc:AlternateContent>
      </w:r>
      <w:r w:rsidRPr="002C1A46">
        <w:t xml:space="preserve"> tetrahedral network at the intermediate-range scale. The </w:t>
      </w:r>
      <w:r w:rsidRPr="002C1A46">
        <w:rPr>
          <w:i/>
          <w:iCs/>
        </w:rPr>
        <w:t>S</w:t>
      </w:r>
      <w:r w:rsidRPr="002C1A46">
        <w:rPr>
          <w:vertAlign w:val="subscript"/>
        </w:rPr>
        <w:t>CC</w:t>
      </w:r>
      <w:r w:rsidRPr="002C1A46">
        <w:t>(</w:t>
      </w:r>
      <w:r w:rsidRPr="002C1A46">
        <w:rPr>
          <w:i/>
          <w:iCs/>
        </w:rPr>
        <w:t>Q</w:t>
      </w:r>
      <w:r w:rsidRPr="002C1A46">
        <w:t>) in SiO</w:t>
      </w:r>
      <w:r w:rsidRPr="002C1A46">
        <w:rPr>
          <w:vertAlign w:val="subscript"/>
        </w:rPr>
        <w:t>2</w:t>
      </w:r>
      <w:r w:rsidRPr="002C1A46">
        <w:t xml:space="preserve"> glass exhibits a well-defined PP, demonstrating a high degree of chemical ordering associated with the alternating Si–O network, while the cross-correlation term </w:t>
      </w:r>
      <w:r w:rsidRPr="002C1A46">
        <w:rPr>
          <w:i/>
          <w:iCs/>
        </w:rPr>
        <w:t>S</w:t>
      </w:r>
      <w:r w:rsidRPr="002C1A46">
        <w:rPr>
          <w:vertAlign w:val="subscript"/>
        </w:rPr>
        <w:t>NC</w:t>
      </w:r>
      <w:r w:rsidRPr="002C1A46">
        <w:t>(</w:t>
      </w:r>
      <w:r w:rsidRPr="002C1A46">
        <w:rPr>
          <w:i/>
          <w:iCs/>
        </w:rPr>
        <w:t>Q</w:t>
      </w:r>
      <w:r w:rsidRPr="002C1A46">
        <w:t>) is small, indicating weak coupling between number-density and concentration fluctuations. These features are consistent with the fully interconnected Q</w:t>
      </w:r>
      <w:r w:rsidRPr="002C1A46">
        <w:rPr>
          <w:vertAlign w:val="superscript"/>
        </w:rPr>
        <w:t>4</w:t>
      </w:r>
      <w:r w:rsidRPr="002C1A46">
        <w:t xml:space="preserve"> network of SiO</w:t>
      </w:r>
      <w:r w:rsidRPr="002C1A46">
        <w:rPr>
          <w:vertAlign w:val="subscript"/>
        </w:rPr>
        <w:t>2</w:t>
      </w:r>
      <w:r w:rsidRPr="002C1A46">
        <w:t xml:space="preserve"> glass, resulting in a highly regular and uniform intermediate-range order with a single dominant length scale.</w:t>
      </w:r>
    </w:p>
    <w:p w14:paraId="6BDE181A" w14:textId="424F94CE" w:rsidR="00F20F51" w:rsidRPr="00F20F51" w:rsidRDefault="00481738" w:rsidP="00F20F51">
      <w:pPr>
        <w:pStyle w:val="08ArticleText"/>
        <w:spacing w:line="276" w:lineRule="auto"/>
        <w:ind w:firstLineChars="150" w:firstLine="291"/>
      </w:pPr>
      <w:r w:rsidRPr="002C1A46">
        <w:t>In contrast, the present results for P</w:t>
      </w:r>
      <w:r w:rsidRPr="002C1A46">
        <w:rPr>
          <w:vertAlign w:val="subscript"/>
        </w:rPr>
        <w:t>2</w:t>
      </w:r>
      <w:r w:rsidRPr="002C1A46">
        <w:t>O</w:t>
      </w:r>
      <w:r w:rsidRPr="002C1A46">
        <w:rPr>
          <w:vertAlign w:val="subscript"/>
        </w:rPr>
        <w:t>5</w:t>
      </w:r>
      <w:r w:rsidRPr="002C1A46">
        <w:t xml:space="preserve"> glass reveal a qualitatively different behaviour. The doublet FSDP in </w:t>
      </w:r>
      <w:r w:rsidRPr="002C1A46">
        <w:rPr>
          <w:i/>
          <w:iCs/>
        </w:rPr>
        <w:t>S</w:t>
      </w:r>
      <w:r w:rsidRPr="002C1A46">
        <w:rPr>
          <w:vertAlign w:val="subscript"/>
        </w:rPr>
        <w:t>NN</w:t>
      </w:r>
      <w:r w:rsidRPr="002C1A46">
        <w:t>(</w:t>
      </w:r>
      <w:r w:rsidRPr="002C1A46">
        <w:rPr>
          <w:i/>
          <w:iCs/>
        </w:rPr>
        <w:t>Q</w:t>
      </w:r>
      <w:r w:rsidRPr="002C1A46">
        <w:t>) indicates the coexistence of multiple topological ordering with distinct length scales. This topological ordering arises from the Q</w:t>
      </w:r>
      <w:r w:rsidRPr="002C1A46">
        <w:rPr>
          <w:vertAlign w:val="superscript"/>
        </w:rPr>
        <w:t>3</w:t>
      </w:r>
      <w:r w:rsidRPr="002C1A46">
        <w:t xml:space="preserve"> network, giving rise to distinct intermediate-range correlations. The presence of NBOs partially disrupts the PO</w:t>
      </w:r>
      <w:r w:rsidRPr="002C1A46">
        <w:rPr>
          <w:vertAlign w:val="subscript"/>
        </w:rPr>
        <w:t>4</w:t>
      </w:r>
      <w:r w:rsidRPr="002C1A46">
        <w:t xml:space="preserve"> tetrahedral network, resulting in a distribution of intermediate-range correlations that is broader and less regular than the fully interconnected Q</w:t>
      </w:r>
      <w:r w:rsidRPr="002C1A46">
        <w:rPr>
          <w:vertAlign w:val="superscript"/>
        </w:rPr>
        <w:t>4</w:t>
      </w:r>
      <w:r w:rsidRPr="002C1A46">
        <w:t xml:space="preserve"> network in SiO</w:t>
      </w:r>
      <w:r w:rsidRPr="002C1A46">
        <w:rPr>
          <w:vertAlign w:val="subscript"/>
        </w:rPr>
        <w:t>2</w:t>
      </w:r>
      <w:r w:rsidRPr="002C1A46">
        <w:t xml:space="preserve"> glass. Furthermore, the PP observed in the </w:t>
      </w:r>
      <w:r w:rsidRPr="002C1A46">
        <w:rPr>
          <w:i/>
          <w:iCs/>
        </w:rPr>
        <w:t>S</w:t>
      </w:r>
      <w:r w:rsidRPr="002C1A46">
        <w:rPr>
          <w:vertAlign w:val="subscript"/>
        </w:rPr>
        <w:t>CC</w:t>
      </w:r>
      <w:r w:rsidRPr="002C1A46">
        <w:t>(</w:t>
      </w:r>
      <w:r w:rsidRPr="002C1A46">
        <w:rPr>
          <w:i/>
          <w:iCs/>
        </w:rPr>
        <w:t>Q</w:t>
      </w:r>
      <w:r w:rsidRPr="002C1A46">
        <w:t>) is primarily associated with chemical ordering, analogous to that in SiO</w:t>
      </w:r>
      <w:r w:rsidRPr="002C1A46">
        <w:rPr>
          <w:vertAlign w:val="subscript"/>
        </w:rPr>
        <w:t xml:space="preserve">2 </w:t>
      </w:r>
      <w:r w:rsidRPr="002C1A46">
        <w:t>glass, but with a broader character, reflecting increased structural disorder in local environments due to the coexistence of BOs and NBOs. Thus, the Q</w:t>
      </w:r>
      <w:r w:rsidRPr="002C1A46">
        <w:rPr>
          <w:vertAlign w:val="superscript"/>
        </w:rPr>
        <w:t>3</w:t>
      </w:r>
      <w:r w:rsidRPr="002C1A46">
        <w:t xml:space="preserve"> structural motif in P</w:t>
      </w:r>
      <w:r w:rsidRPr="002C1A46">
        <w:rPr>
          <w:vertAlign w:val="subscript"/>
        </w:rPr>
        <w:t>2</w:t>
      </w:r>
      <w:r w:rsidRPr="002C1A46">
        <w:t>O</w:t>
      </w:r>
      <w:r w:rsidRPr="002C1A46">
        <w:rPr>
          <w:vertAlign w:val="subscript"/>
        </w:rPr>
        <w:t>5</w:t>
      </w:r>
      <w:r w:rsidRPr="002C1A46">
        <w:t xml:space="preserve"> glass establishes robust short-range tetrahedral order while simultaneously giving rise to multiple forms of topological ordering at the intermediate range, in sharp contrast to the uniform Q</w:t>
      </w:r>
      <w:r w:rsidRPr="002C1A46">
        <w:rPr>
          <w:vertAlign w:val="superscript"/>
        </w:rPr>
        <w:t>4</w:t>
      </w:r>
      <w:r w:rsidRPr="002C1A46">
        <w:t xml:space="preserve"> network of SiO</w:t>
      </w:r>
      <w:r w:rsidRPr="002C1A46">
        <w:rPr>
          <w:vertAlign w:val="subscript"/>
        </w:rPr>
        <w:t>2</w:t>
      </w:r>
      <w:r w:rsidRPr="002C1A46">
        <w:t xml:space="preserve"> glass. These results highlight the greater structural complexity of P</w:t>
      </w:r>
      <w:r w:rsidRPr="002C1A46">
        <w:rPr>
          <w:vertAlign w:val="subscript"/>
        </w:rPr>
        <w:t>2</w:t>
      </w:r>
      <w:r w:rsidRPr="002C1A46">
        <w:t>O</w:t>
      </w:r>
      <w:r w:rsidRPr="002C1A46">
        <w:rPr>
          <w:vertAlign w:val="subscript"/>
        </w:rPr>
        <w:t>5</w:t>
      </w:r>
      <w:r w:rsidRPr="002C1A46">
        <w:t xml:space="preserve"> glass, arising from multiple intermediate-range orders manifested by the Q</w:t>
      </w:r>
      <w:r w:rsidRPr="002C1A46">
        <w:rPr>
          <w:vertAlign w:val="superscript"/>
        </w:rPr>
        <w:t>3</w:t>
      </w:r>
      <w:r w:rsidRPr="002C1A46">
        <w:t xml:space="preserve"> network, which will be explored in terms of ring size distributions and cavity analyses in the following sections.</w:t>
      </w:r>
      <w:r w:rsidR="00AE2D99" w:rsidRPr="00AE2D99">
        <w:rPr>
          <w:noProof/>
          <w:w w:val="100"/>
        </w:rPr>
        <w:t xml:space="preserve"> </w:t>
      </w:r>
    </w:p>
    <w:p w14:paraId="506B6D06" w14:textId="044BD2AE" w:rsidR="00590CD4" w:rsidRDefault="000A1E8E" w:rsidP="00590CD4">
      <w:pPr>
        <w:pStyle w:val="08ArticleText"/>
        <w:spacing w:line="276" w:lineRule="auto"/>
        <w:rPr>
          <w:lang w:val="en-US" w:eastAsia="ja-JP"/>
        </w:rPr>
      </w:pPr>
      <w:r w:rsidRPr="002C1A46">
        <w:rPr>
          <w:noProof/>
          <w:w w:val="100"/>
        </w:rPr>
        <mc:AlternateContent>
          <mc:Choice Requires="wps">
            <w:drawing>
              <wp:inline distT="0" distB="0" distL="0" distR="0" wp14:anchorId="5DA3494E" wp14:editId="0D26F28B">
                <wp:extent cx="3158490" cy="2884025"/>
                <wp:effectExtent l="0" t="0" r="3810" b="0"/>
                <wp:docPr id="131718380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490" cy="2884025"/>
                        </a:xfrm>
                        <a:prstGeom prst="rect">
                          <a:avLst/>
                        </a:prstGeom>
                        <a:solidFill>
                          <a:srgbClr val="FFFFFF"/>
                        </a:solidFill>
                        <a:ln w="9525">
                          <a:noFill/>
                          <a:miter lim="800000"/>
                          <a:headEnd/>
                          <a:tailEnd/>
                        </a:ln>
                      </wps:spPr>
                      <wps:txbx>
                        <w:txbxContent>
                          <w:p w14:paraId="3FB43B89" w14:textId="77777777" w:rsidR="000A1E8E" w:rsidRDefault="000A1E8E" w:rsidP="000A1E8E">
                            <w:pPr>
                              <w:pStyle w:val="RSCI02FigureSchemeChartwithtopbar"/>
                              <w:jc w:val="center"/>
                              <w:rPr>
                                <w:lang w:val="en-US"/>
                              </w:rPr>
                            </w:pPr>
                            <w:r w:rsidRPr="007A58D1">
                              <w:rPr>
                                <w:noProof/>
                                <w:lang w:val="en-US"/>
                              </w:rPr>
                              <w:drawing>
                                <wp:inline distT="0" distB="0" distL="0" distR="0" wp14:anchorId="038DC46B" wp14:editId="3E3EA4FA">
                                  <wp:extent cx="1990440" cy="2016000"/>
                                  <wp:effectExtent l="0" t="0" r="3810" b="3810"/>
                                  <wp:docPr id="647880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33075" name=""/>
                                          <pic:cNvPicPr/>
                                        </pic:nvPicPr>
                                        <pic:blipFill>
                                          <a:blip r:embed="rId20"/>
                                          <a:stretch>
                                            <a:fillRect/>
                                          </a:stretch>
                                        </pic:blipFill>
                                        <pic:spPr>
                                          <a:xfrm>
                                            <a:off x="0" y="0"/>
                                            <a:ext cx="1990440" cy="2016000"/>
                                          </a:xfrm>
                                          <a:prstGeom prst="rect">
                                            <a:avLst/>
                                          </a:prstGeom>
                                        </pic:spPr>
                                      </pic:pic>
                                    </a:graphicData>
                                  </a:graphic>
                                </wp:inline>
                              </w:drawing>
                            </w:r>
                          </w:p>
                          <w:p w14:paraId="005CCF6A" w14:textId="77777777" w:rsidR="000A1E8E" w:rsidRPr="00E8155A" w:rsidRDefault="000A1E8E" w:rsidP="000A1E8E">
                            <w:pPr>
                              <w:pStyle w:val="RSCI02FigureSchemeChartwithtopbar"/>
                              <w:rPr>
                                <w:sz w:val="18"/>
                                <w:lang w:val="en-US"/>
                              </w:rPr>
                            </w:pPr>
                            <w:r w:rsidRPr="00E8155A">
                              <w:rPr>
                                <w:sz w:val="18"/>
                                <w:lang w:val="en-US"/>
                              </w:rPr>
                              <w:t>Fig. 4</w:t>
                            </w:r>
                            <w:r w:rsidRPr="00E8155A">
                              <w:rPr>
                                <w:rFonts w:cstheme="minorHAnsi"/>
                                <w:sz w:val="18"/>
                              </w:rPr>
                              <w:t xml:space="preserve"> </w:t>
                            </w:r>
                            <w:r w:rsidRPr="00E8155A">
                              <w:rPr>
                                <w:rFonts w:ascii="Calibri" w:hAnsi="Calibri" w:cs="Calibri"/>
                                <w:sz w:val="18"/>
                              </w:rPr>
                              <w:t xml:space="preserve">Bhatia–Thornton partial structure factors, </w:t>
                            </w:r>
                            <w:proofErr w:type="spellStart"/>
                            <w:r w:rsidRPr="00F8128B">
                              <w:rPr>
                                <w:rFonts w:ascii="Calibri" w:hAnsi="Calibri" w:cs="Calibri"/>
                                <w:i/>
                                <w:iCs/>
                                <w:sz w:val="18"/>
                              </w:rPr>
                              <w:t>S</w:t>
                            </w:r>
                            <w:r w:rsidRPr="00F8128B">
                              <w:rPr>
                                <w:rFonts w:ascii="Calibri" w:hAnsi="Calibri" w:cs="Calibri"/>
                                <w:i/>
                                <w:iCs/>
                                <w:sz w:val="18"/>
                                <w:vertAlign w:val="subscript"/>
                              </w:rPr>
                              <w:t>ij</w:t>
                            </w:r>
                            <w:proofErr w:type="spellEnd"/>
                            <w:r w:rsidRPr="00E8155A">
                              <w:rPr>
                                <w:rFonts w:ascii="Calibri" w:hAnsi="Calibri" w:cs="Calibri"/>
                                <w:sz w:val="18"/>
                              </w:rPr>
                              <w:t>(</w:t>
                            </w:r>
                            <w:r w:rsidRPr="00E8155A">
                              <w:rPr>
                                <w:rFonts w:ascii="Calibri" w:hAnsi="Calibri" w:cs="Calibri"/>
                                <w:i/>
                                <w:iCs/>
                                <w:sz w:val="18"/>
                              </w:rPr>
                              <w:t>Q</w:t>
                            </w:r>
                            <w:r w:rsidRPr="00E8155A">
                              <w:rPr>
                                <w:rFonts w:ascii="Calibri" w:hAnsi="Calibri" w:cs="Calibri"/>
                                <w:sz w:val="18"/>
                              </w:rPr>
                              <w:t>), for P</w:t>
                            </w:r>
                            <w:r w:rsidRPr="00E8155A">
                              <w:rPr>
                                <w:rFonts w:ascii="Calibri" w:hAnsi="Calibri" w:cs="Calibri"/>
                                <w:sz w:val="18"/>
                                <w:vertAlign w:val="subscript"/>
                              </w:rPr>
                              <w:t>2</w:t>
                            </w:r>
                            <w:r w:rsidRPr="00E8155A">
                              <w:rPr>
                                <w:rFonts w:ascii="Calibri" w:hAnsi="Calibri" w:cs="Calibri"/>
                                <w:sz w:val="18"/>
                              </w:rPr>
                              <w:t>O</w:t>
                            </w:r>
                            <w:r w:rsidRPr="00E8155A">
                              <w:rPr>
                                <w:rFonts w:ascii="Calibri" w:hAnsi="Calibri" w:cs="Calibri"/>
                                <w:sz w:val="18"/>
                                <w:vertAlign w:val="subscript"/>
                              </w:rPr>
                              <w:t>5</w:t>
                            </w:r>
                            <w:r w:rsidRPr="00E8155A">
                              <w:rPr>
                                <w:rFonts w:ascii="Calibri" w:hAnsi="Calibri" w:cs="Calibri"/>
                                <w:sz w:val="18"/>
                              </w:rPr>
                              <w:t xml:space="preserve"> (red) and SiO</w:t>
                            </w:r>
                            <w:r w:rsidRPr="00E8155A">
                              <w:rPr>
                                <w:rFonts w:ascii="Calibri" w:hAnsi="Calibri" w:cs="Calibri"/>
                                <w:sz w:val="18"/>
                                <w:vertAlign w:val="subscript"/>
                              </w:rPr>
                              <w:t>2</w:t>
                            </w:r>
                            <w:r w:rsidRPr="00E8155A">
                              <w:rPr>
                                <w:rFonts w:ascii="Calibri" w:hAnsi="Calibri" w:cs="Calibri"/>
                                <w:sz w:val="18"/>
                              </w:rPr>
                              <w:t xml:space="preserve"> (</w:t>
                            </w:r>
                            <w:r w:rsidRPr="00F772B6">
                              <w:rPr>
                                <w:rFonts w:ascii="Calibri" w:hAnsi="Calibri" w:cs="Calibri"/>
                                <w:sz w:val="18"/>
                              </w:rPr>
                              <w:t>blue</w:t>
                            </w:r>
                            <w:r w:rsidRPr="00E8155A">
                              <w:rPr>
                                <w:rFonts w:ascii="Calibri" w:hAnsi="Calibri" w:cs="Calibri"/>
                                <w:sz w:val="18"/>
                              </w:rPr>
                              <w:t xml:space="preserve">) glasses. The magnitude of the scattering vector, </w:t>
                            </w:r>
                            <w:r w:rsidRPr="00E8155A">
                              <w:rPr>
                                <w:rFonts w:ascii="Calibri" w:hAnsi="Calibri" w:cs="Calibri"/>
                                <w:i/>
                                <w:iCs/>
                                <w:sz w:val="18"/>
                              </w:rPr>
                              <w:t>Q</w:t>
                            </w:r>
                            <w:r w:rsidRPr="00E8155A">
                              <w:rPr>
                                <w:rFonts w:ascii="Calibri" w:hAnsi="Calibri" w:cs="Calibri"/>
                                <w:sz w:val="18"/>
                              </w:rPr>
                              <w:t xml:space="preserve">, is scaled by multiplying it by </w:t>
                            </w:r>
                            <w:proofErr w:type="spellStart"/>
                            <w:r w:rsidRPr="00E8155A">
                              <w:rPr>
                                <w:rFonts w:ascii="Calibri" w:hAnsi="Calibri" w:cs="Calibri"/>
                                <w:i/>
                                <w:iCs/>
                                <w:sz w:val="18"/>
                              </w:rPr>
                              <w:t>r</w:t>
                            </w:r>
                            <w:r w:rsidRPr="00E8155A">
                              <w:rPr>
                                <w:rFonts w:ascii="Calibri" w:hAnsi="Calibri" w:cs="Calibri"/>
                                <w:sz w:val="18"/>
                                <w:vertAlign w:val="subscript"/>
                              </w:rPr>
                              <w:t>A</w:t>
                            </w:r>
                            <w:proofErr w:type="spellEnd"/>
                            <w:r w:rsidRPr="00E8155A">
                              <w:rPr>
                                <w:rFonts w:ascii="Calibri" w:hAnsi="Calibri" w:cs="Calibri"/>
                                <w:sz w:val="18"/>
                                <w:vertAlign w:val="subscript"/>
                              </w:rPr>
                              <w:t>–X</w:t>
                            </w:r>
                            <w:r w:rsidRPr="00E8155A">
                              <w:rPr>
                                <w:rFonts w:ascii="Calibri" w:hAnsi="Calibri" w:cs="Calibri"/>
                                <w:sz w:val="18"/>
                              </w:rPr>
                              <w:t xml:space="preserve"> (the first coordination distance)</w:t>
                            </w:r>
                            <w:r w:rsidRPr="00E8155A">
                              <w:rPr>
                                <w:rFonts w:cstheme="minorHAnsi"/>
                                <w:sz w:val="18"/>
                              </w:rPr>
                              <w:t>.</w:t>
                            </w:r>
                          </w:p>
                        </w:txbxContent>
                      </wps:txbx>
                      <wps:bodyPr rot="0" vert="horz" wrap="square" lIns="0" tIns="36000" rIns="0" bIns="36000" anchor="b" anchorCtr="0">
                        <a:noAutofit/>
                      </wps:bodyPr>
                    </wps:wsp>
                  </a:graphicData>
                </a:graphic>
              </wp:inline>
            </w:drawing>
          </mc:Choice>
          <mc:Fallback>
            <w:pict>
              <v:shape w14:anchorId="5DA3494E" id="_x0000_s1031" type="#_x0000_t202" style="width:248.7pt;height:227.1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" stroked="f">
                <o:lock v:ext="edit" aspectratio="t"/>
                <v:textbox inset="0,1mm,0,1mm">
                  <w:txbxContent>
                    <w:p w14:paraId="3FB43B89" w14:textId="77777777" w:rsidR="000A1E8E" w:rsidRDefault="000A1E8E" w:rsidP="000A1E8E">
                      <w:pPr>
                        <w:pStyle w:val="RSCI02FigureSchemeChartwithtopbar"/>
                        <w:jc w:val="center"/>
                        <w:rPr>
                          <w:lang w:val="en-US"/>
                        </w:rPr>
                      </w:pPr>
                      <w:r w:rsidRPr="007A58D1">
                        <w:rPr>
                          <w:noProof/>
                          <w:lang w:val="en-US"/>
                        </w:rPr>
                        <w:drawing>
                          <wp:inline distT="0" distB="0" distL="0" distR="0" wp14:anchorId="038DC46B" wp14:editId="3E3EA4FA">
                            <wp:extent cx="1990440" cy="2016000"/>
                            <wp:effectExtent l="0" t="0" r="3810" b="3810"/>
                            <wp:docPr id="647880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33075" name=""/>
                                    <pic:cNvPicPr/>
                                  </pic:nvPicPr>
                                  <pic:blipFill>
                                    <a:blip r:embed="rId20"/>
                                    <a:stretch>
                                      <a:fillRect/>
                                    </a:stretch>
                                  </pic:blipFill>
                                  <pic:spPr>
                                    <a:xfrm>
                                      <a:off x="0" y="0"/>
                                      <a:ext cx="1990440" cy="2016000"/>
                                    </a:xfrm>
                                    <a:prstGeom prst="rect">
                                      <a:avLst/>
                                    </a:prstGeom>
                                  </pic:spPr>
                                </pic:pic>
                              </a:graphicData>
                            </a:graphic>
                          </wp:inline>
                        </w:drawing>
                      </w:r>
                    </w:p>
                    <w:p w14:paraId="005CCF6A" w14:textId="77777777" w:rsidR="000A1E8E" w:rsidRPr="00E8155A" w:rsidRDefault="000A1E8E" w:rsidP="000A1E8E">
                      <w:pPr>
                        <w:pStyle w:val="RSCI02FigureSchemeChartwithtopbar"/>
                        <w:rPr>
                          <w:sz w:val="18"/>
                          <w:lang w:val="en-US"/>
                        </w:rPr>
                      </w:pPr>
                      <w:r w:rsidRPr="00E8155A">
                        <w:rPr>
                          <w:sz w:val="18"/>
                          <w:lang w:val="en-US"/>
                        </w:rPr>
                        <w:t>Fig. 4</w:t>
                      </w:r>
                      <w:r w:rsidRPr="00E8155A">
                        <w:rPr>
                          <w:rFonts w:cstheme="minorHAnsi"/>
                          <w:sz w:val="18"/>
                        </w:rPr>
                        <w:t xml:space="preserve"> </w:t>
                      </w:r>
                      <w:r w:rsidRPr="00E8155A">
                        <w:rPr>
                          <w:rFonts w:ascii="Calibri" w:hAnsi="Calibri" w:cs="Calibri"/>
                          <w:sz w:val="18"/>
                        </w:rPr>
                        <w:t xml:space="preserve">Bhatia–Thornton partial structure factors, </w:t>
                      </w:r>
                      <w:proofErr w:type="spellStart"/>
                      <w:r w:rsidRPr="00F8128B">
                        <w:rPr>
                          <w:rFonts w:ascii="Calibri" w:hAnsi="Calibri" w:cs="Calibri"/>
                          <w:i/>
                          <w:iCs/>
                          <w:sz w:val="18"/>
                        </w:rPr>
                        <w:t>S</w:t>
                      </w:r>
                      <w:r w:rsidRPr="00F8128B">
                        <w:rPr>
                          <w:rFonts w:ascii="Calibri" w:hAnsi="Calibri" w:cs="Calibri"/>
                          <w:i/>
                          <w:iCs/>
                          <w:sz w:val="18"/>
                          <w:vertAlign w:val="subscript"/>
                        </w:rPr>
                        <w:t>ij</w:t>
                      </w:r>
                      <w:proofErr w:type="spellEnd"/>
                      <w:r w:rsidRPr="00E8155A">
                        <w:rPr>
                          <w:rFonts w:ascii="Calibri" w:hAnsi="Calibri" w:cs="Calibri"/>
                          <w:sz w:val="18"/>
                        </w:rPr>
                        <w:t>(</w:t>
                      </w:r>
                      <w:r w:rsidRPr="00E8155A">
                        <w:rPr>
                          <w:rFonts w:ascii="Calibri" w:hAnsi="Calibri" w:cs="Calibri"/>
                          <w:i/>
                          <w:iCs/>
                          <w:sz w:val="18"/>
                        </w:rPr>
                        <w:t>Q</w:t>
                      </w:r>
                      <w:r w:rsidRPr="00E8155A">
                        <w:rPr>
                          <w:rFonts w:ascii="Calibri" w:hAnsi="Calibri" w:cs="Calibri"/>
                          <w:sz w:val="18"/>
                        </w:rPr>
                        <w:t>), for P</w:t>
                      </w:r>
                      <w:r w:rsidRPr="00E8155A">
                        <w:rPr>
                          <w:rFonts w:ascii="Calibri" w:hAnsi="Calibri" w:cs="Calibri"/>
                          <w:sz w:val="18"/>
                          <w:vertAlign w:val="subscript"/>
                        </w:rPr>
                        <w:t>2</w:t>
                      </w:r>
                      <w:r w:rsidRPr="00E8155A">
                        <w:rPr>
                          <w:rFonts w:ascii="Calibri" w:hAnsi="Calibri" w:cs="Calibri"/>
                          <w:sz w:val="18"/>
                        </w:rPr>
                        <w:t>O</w:t>
                      </w:r>
                      <w:r w:rsidRPr="00E8155A">
                        <w:rPr>
                          <w:rFonts w:ascii="Calibri" w:hAnsi="Calibri" w:cs="Calibri"/>
                          <w:sz w:val="18"/>
                          <w:vertAlign w:val="subscript"/>
                        </w:rPr>
                        <w:t>5</w:t>
                      </w:r>
                      <w:r w:rsidRPr="00E8155A">
                        <w:rPr>
                          <w:rFonts w:ascii="Calibri" w:hAnsi="Calibri" w:cs="Calibri"/>
                          <w:sz w:val="18"/>
                        </w:rPr>
                        <w:t xml:space="preserve"> (red) and SiO</w:t>
                      </w:r>
                      <w:r w:rsidRPr="00E8155A">
                        <w:rPr>
                          <w:rFonts w:ascii="Calibri" w:hAnsi="Calibri" w:cs="Calibri"/>
                          <w:sz w:val="18"/>
                          <w:vertAlign w:val="subscript"/>
                        </w:rPr>
                        <w:t>2</w:t>
                      </w:r>
                      <w:r w:rsidRPr="00E8155A">
                        <w:rPr>
                          <w:rFonts w:ascii="Calibri" w:hAnsi="Calibri" w:cs="Calibri"/>
                          <w:sz w:val="18"/>
                        </w:rPr>
                        <w:t xml:space="preserve"> (</w:t>
                      </w:r>
                      <w:r w:rsidRPr="00F772B6">
                        <w:rPr>
                          <w:rFonts w:ascii="Calibri" w:hAnsi="Calibri" w:cs="Calibri"/>
                          <w:sz w:val="18"/>
                        </w:rPr>
                        <w:t>blue</w:t>
                      </w:r>
                      <w:r w:rsidRPr="00E8155A">
                        <w:rPr>
                          <w:rFonts w:ascii="Calibri" w:hAnsi="Calibri" w:cs="Calibri"/>
                          <w:sz w:val="18"/>
                        </w:rPr>
                        <w:t xml:space="preserve">) glasses. The magnitude of the scattering vector, </w:t>
                      </w:r>
                      <w:r w:rsidRPr="00E8155A">
                        <w:rPr>
                          <w:rFonts w:ascii="Calibri" w:hAnsi="Calibri" w:cs="Calibri"/>
                          <w:i/>
                          <w:iCs/>
                          <w:sz w:val="18"/>
                        </w:rPr>
                        <w:t>Q</w:t>
                      </w:r>
                      <w:r w:rsidRPr="00E8155A">
                        <w:rPr>
                          <w:rFonts w:ascii="Calibri" w:hAnsi="Calibri" w:cs="Calibri"/>
                          <w:sz w:val="18"/>
                        </w:rPr>
                        <w:t xml:space="preserve">, is scaled by multiplying it by </w:t>
                      </w:r>
                      <w:proofErr w:type="spellStart"/>
                      <w:r w:rsidRPr="00E8155A">
                        <w:rPr>
                          <w:rFonts w:ascii="Calibri" w:hAnsi="Calibri" w:cs="Calibri"/>
                          <w:i/>
                          <w:iCs/>
                          <w:sz w:val="18"/>
                        </w:rPr>
                        <w:t>r</w:t>
                      </w:r>
                      <w:r w:rsidRPr="00E8155A">
                        <w:rPr>
                          <w:rFonts w:ascii="Calibri" w:hAnsi="Calibri" w:cs="Calibri"/>
                          <w:sz w:val="18"/>
                          <w:vertAlign w:val="subscript"/>
                        </w:rPr>
                        <w:t>A</w:t>
                      </w:r>
                      <w:proofErr w:type="spellEnd"/>
                      <w:r w:rsidRPr="00E8155A">
                        <w:rPr>
                          <w:rFonts w:ascii="Calibri" w:hAnsi="Calibri" w:cs="Calibri"/>
                          <w:sz w:val="18"/>
                          <w:vertAlign w:val="subscript"/>
                        </w:rPr>
                        <w:t>–X</w:t>
                      </w:r>
                      <w:r w:rsidRPr="00E8155A">
                        <w:rPr>
                          <w:rFonts w:ascii="Calibri" w:hAnsi="Calibri" w:cs="Calibri"/>
                          <w:sz w:val="18"/>
                        </w:rPr>
                        <w:t xml:space="preserve"> (the first coordination distance)</w:t>
                      </w:r>
                      <w:r w:rsidRPr="00E8155A">
                        <w:rPr>
                          <w:rFonts w:cstheme="minorHAnsi"/>
                          <w:sz w:val="18"/>
                        </w:rPr>
                        <w:t>.</w:t>
                      </w:r>
                    </w:p>
                  </w:txbxContent>
                </v:textbox>
                <w10:anchorlock/>
              </v:shape>
            </w:pict>
          </mc:Fallback>
        </mc:AlternateContent>
      </w:r>
    </w:p>
    <w:p w14:paraId="64D53D0B" w14:textId="5EAC7EB5" w:rsidR="000A1E8E" w:rsidRPr="000A1E8E" w:rsidRDefault="002F6917" w:rsidP="00590CD4">
      <w:pPr>
        <w:pStyle w:val="08ArticleText"/>
        <w:spacing w:line="276" w:lineRule="auto"/>
        <w:rPr>
          <w:lang w:val="en-US" w:eastAsia="ja-JP"/>
        </w:rPr>
      </w:pPr>
      <w:r w:rsidRPr="002C1A46">
        <w:rPr>
          <w:noProof/>
        </w:rPr>
        <w:lastRenderedPageBreak/>
        <mc:AlternateContent>
          <mc:Choice Requires="wps">
            <w:drawing>
              <wp:anchor distT="0" distB="0" distL="114300" distR="114300" simplePos="0" relativeHeight="251737088" behindDoc="0" locked="0" layoutInCell="1" allowOverlap="1" wp14:anchorId="4BB5AA80" wp14:editId="2E1E75A9">
                <wp:simplePos x="0" y="0"/>
                <wp:positionH relativeFrom="column">
                  <wp:posOffset>-4445</wp:posOffset>
                </wp:positionH>
                <wp:positionV relativeFrom="paragraph">
                  <wp:posOffset>53</wp:posOffset>
                </wp:positionV>
                <wp:extent cx="6484620" cy="3187700"/>
                <wp:effectExtent l="0" t="0" r="5080" b="0"/>
                <wp:wrapSquare wrapText="bothSides"/>
                <wp:docPr id="1188413804"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484620" cy="3187700"/>
                        </a:xfrm>
                        <a:prstGeom prst="rect">
                          <a:avLst/>
                        </a:prstGeom>
                        <a:solidFill>
                          <a:srgbClr val="FFFFFF"/>
                        </a:solidFill>
                        <a:ln w="9525">
                          <a:noFill/>
                          <a:miter lim="800000"/>
                          <a:headEnd/>
                          <a:tailEnd/>
                        </a:ln>
                      </wps:spPr>
                      <wps:txbx>
                        <w:txbxContent>
                          <w:p w14:paraId="3EBA0AF9" w14:textId="6A9374FA" w:rsidR="00D8695C" w:rsidRDefault="001F05C4" w:rsidP="00D8695C">
                            <w:pPr>
                              <w:pStyle w:val="RSCI05CaptiontoFigureSchemeChartwithbottombar"/>
                              <w:spacing w:after="0" w:line="240" w:lineRule="auto"/>
                              <w:jc w:val="center"/>
                              <w:rPr>
                                <w:spacing w:val="-2"/>
                                <w:sz w:val="18"/>
                                <w:lang w:val="en-US"/>
                              </w:rPr>
                            </w:pPr>
                            <w:r w:rsidRPr="001F05C4">
                              <w:rPr>
                                <w:noProof/>
                                <w:spacing w:val="-2"/>
                                <w:sz w:val="18"/>
                                <w:lang w:val="en-US"/>
                              </w:rPr>
                              <w:drawing>
                                <wp:inline distT="0" distB="0" distL="0" distR="0" wp14:anchorId="35FB8A04" wp14:editId="0135018B">
                                  <wp:extent cx="5107680" cy="2592000"/>
                                  <wp:effectExtent l="0" t="0" r="0" b="0"/>
                                  <wp:docPr id="17749890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45655" name=""/>
                                          <pic:cNvPicPr/>
                                        </pic:nvPicPr>
                                        <pic:blipFill>
                                          <a:blip r:embed="rId21"/>
                                          <a:stretch>
                                            <a:fillRect/>
                                          </a:stretch>
                                        </pic:blipFill>
                                        <pic:spPr>
                                          <a:xfrm>
                                            <a:off x="0" y="0"/>
                                            <a:ext cx="5107680" cy="2592000"/>
                                          </a:xfrm>
                                          <a:prstGeom prst="rect">
                                            <a:avLst/>
                                          </a:prstGeom>
                                        </pic:spPr>
                                      </pic:pic>
                                    </a:graphicData>
                                  </a:graphic>
                                </wp:inline>
                              </w:drawing>
                            </w:r>
                          </w:p>
                          <w:p w14:paraId="30370053" w14:textId="12DB0223" w:rsidR="00D8695C" w:rsidRPr="00A07F46" w:rsidRDefault="00D8695C" w:rsidP="00D8695C">
                            <w:pPr>
                              <w:pStyle w:val="RSCI05CaptiontoFigureSchemeChartwithbottombar"/>
                              <w:spacing w:afterLines="1000" w:after="2400" w:line="240" w:lineRule="auto"/>
                              <w:rPr>
                                <w:spacing w:val="-2"/>
                                <w:sz w:val="18"/>
                                <w:lang w:val="en-US"/>
                              </w:rPr>
                            </w:pPr>
                            <w:r w:rsidRPr="00261C09">
                              <w:rPr>
                                <w:sz w:val="18"/>
                                <w:lang w:val="en-US"/>
                              </w:rPr>
                              <w:t xml:space="preserve">Fig. </w:t>
                            </w:r>
                            <w:r>
                              <w:rPr>
                                <w:sz w:val="18"/>
                                <w:lang w:val="en-US"/>
                              </w:rPr>
                              <w:t>5</w:t>
                            </w:r>
                            <w:r w:rsidRPr="00C87809">
                              <w:rPr>
                                <w:sz w:val="22"/>
                                <w:szCs w:val="22"/>
                                <w:lang w:eastAsia="ja-JP"/>
                              </w:rPr>
                              <w:t xml:space="preserve"> </w:t>
                            </w:r>
                            <w:r w:rsidRPr="00D8695C">
                              <w:rPr>
                                <w:rFonts w:ascii="Calibri" w:hAnsi="Calibri" w:cs="Calibri"/>
                                <w:sz w:val="18"/>
                              </w:rPr>
                              <w:t>(a) Primitive ring size distribution, (b) visualisation of surface-based cavities, and (c) weighted surface-based cavity volume distributions for P</w:t>
                            </w:r>
                            <w:r w:rsidRPr="00D8695C">
                              <w:rPr>
                                <w:rFonts w:ascii="Calibri" w:hAnsi="Calibri" w:cs="Calibri"/>
                                <w:sz w:val="18"/>
                                <w:vertAlign w:val="subscript"/>
                              </w:rPr>
                              <w:t>2</w:t>
                            </w:r>
                            <w:r w:rsidRPr="00D8695C">
                              <w:rPr>
                                <w:rFonts w:ascii="Calibri" w:hAnsi="Calibri" w:cs="Calibri"/>
                                <w:sz w:val="18"/>
                              </w:rPr>
                              <w:t>O</w:t>
                            </w:r>
                            <w:r w:rsidRPr="00D8695C">
                              <w:rPr>
                                <w:rFonts w:ascii="Calibri" w:hAnsi="Calibri" w:cs="Calibri"/>
                                <w:sz w:val="18"/>
                                <w:vertAlign w:val="subscript"/>
                              </w:rPr>
                              <w:t>5</w:t>
                            </w:r>
                            <w:r w:rsidRPr="00D8695C">
                              <w:rPr>
                                <w:rFonts w:ascii="Calibri" w:hAnsi="Calibri" w:cs="Calibri"/>
                                <w:sz w:val="18"/>
                              </w:rPr>
                              <w:t xml:space="preserve"> (upper panels) and SiO</w:t>
                            </w:r>
                            <w:r w:rsidRPr="00D8695C">
                              <w:rPr>
                                <w:rFonts w:ascii="Calibri" w:hAnsi="Calibri" w:cs="Calibri"/>
                                <w:sz w:val="18"/>
                                <w:vertAlign w:val="subscript"/>
                              </w:rPr>
                              <w:t>2</w:t>
                            </w:r>
                            <w:r w:rsidRPr="00D8695C">
                              <w:rPr>
                                <w:rFonts w:ascii="Calibri" w:hAnsi="Calibri" w:cs="Calibri"/>
                                <w:sz w:val="18"/>
                              </w:rPr>
                              <w:t xml:space="preserve"> (lower panels) glasses. In the visualisations, yellow, blue, and red </w:t>
                            </w:r>
                            <w:r w:rsidRPr="00D8695C">
                              <w:rPr>
                                <w:rFonts w:ascii="Calibri" w:hAnsi="Calibri" w:cs="Calibri"/>
                                <w:sz w:val="18"/>
                                <w:lang w:val="en-US"/>
                              </w:rPr>
                              <w:t>spheres</w:t>
                            </w:r>
                            <w:r w:rsidRPr="00D8695C">
                              <w:rPr>
                                <w:rFonts w:ascii="Calibri" w:hAnsi="Calibri" w:cs="Calibri"/>
                                <w:sz w:val="18"/>
                              </w:rPr>
                              <w:t xml:space="preserve"> represent P, Si, and O atoms, respectively, and green regions represent the cavities.</w:t>
                            </w:r>
                          </w:p>
                        </w:txbxContent>
                      </wps:txbx>
                      <wps:bodyPr rot="0" vert="horz" wrap="square" lIns="0" tIns="36000" rIns="0" bIns="36000" anchor="b" anchorCtr="0">
                        <a:noAutofit/>
                      </wps:bodyPr>
                    </wps:wsp>
                  </a:graphicData>
                </a:graphic>
                <wp14:sizeRelV relativeFrom="margin">
                  <wp14:pctHeight>0</wp14:pctHeight>
                </wp14:sizeRelV>
              </wp:anchor>
            </w:drawing>
          </mc:Choice>
          <mc:Fallback>
            <w:pict>
              <v:shape w14:anchorId="4BB5AA80" id="_x0000_s1032" type="#_x0000_t202" style="position:absolute;left:0;text-align:left;margin-left:-.35pt;margin-top:0;width:510.6pt;height:251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" stroked="f">
                <o:lock v:ext="edit" aspectratio="t"/>
                <v:textbox inset="0,1mm,0,1mm">
                  <w:txbxContent>
                    <w:p w14:paraId="3EBA0AF9" w14:textId="6A9374FA" w:rsidR="00D8695C" w:rsidRDefault="001F05C4" w:rsidP="00D8695C">
                      <w:pPr>
                        <w:pStyle w:val="RSCI05CaptiontoFigureSchemeChartwithbottombar"/>
                        <w:spacing w:after="0" w:line="240" w:lineRule="auto"/>
                        <w:jc w:val="center"/>
                        <w:rPr>
                          <w:spacing w:val="-2"/>
                          <w:sz w:val="18"/>
                          <w:lang w:val="en-US"/>
                        </w:rPr>
                      </w:pPr>
                      <w:r w:rsidRPr="001F05C4">
                        <w:rPr>
                          <w:noProof/>
                          <w:spacing w:val="-2"/>
                          <w:sz w:val="18"/>
                          <w:lang w:val="en-US"/>
                        </w:rPr>
                        <w:drawing>
                          <wp:inline distT="0" distB="0" distL="0" distR="0" wp14:anchorId="35FB8A04" wp14:editId="0135018B">
                            <wp:extent cx="5107680" cy="2592000"/>
                            <wp:effectExtent l="0" t="0" r="0" b="0"/>
                            <wp:docPr id="17749890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45655" name=""/>
                                    <pic:cNvPicPr/>
                                  </pic:nvPicPr>
                                  <pic:blipFill>
                                    <a:blip r:embed="rId21"/>
                                    <a:stretch>
                                      <a:fillRect/>
                                    </a:stretch>
                                  </pic:blipFill>
                                  <pic:spPr>
                                    <a:xfrm>
                                      <a:off x="0" y="0"/>
                                      <a:ext cx="5107680" cy="2592000"/>
                                    </a:xfrm>
                                    <a:prstGeom prst="rect">
                                      <a:avLst/>
                                    </a:prstGeom>
                                  </pic:spPr>
                                </pic:pic>
                              </a:graphicData>
                            </a:graphic>
                          </wp:inline>
                        </w:drawing>
                      </w:r>
                    </w:p>
                    <w:p w14:paraId="30370053" w14:textId="12DB0223" w:rsidR="00D8695C" w:rsidRPr="00A07F46" w:rsidRDefault="00D8695C" w:rsidP="00D8695C">
                      <w:pPr>
                        <w:pStyle w:val="RSCI05CaptiontoFigureSchemeChartwithbottombar"/>
                        <w:spacing w:afterLines="1000" w:after="2400" w:line="240" w:lineRule="auto"/>
                        <w:rPr>
                          <w:spacing w:val="-2"/>
                          <w:sz w:val="18"/>
                          <w:lang w:val="en-US"/>
                        </w:rPr>
                      </w:pPr>
                      <w:r w:rsidRPr="00261C09">
                        <w:rPr>
                          <w:sz w:val="18"/>
                          <w:lang w:val="en-US"/>
                        </w:rPr>
                        <w:t xml:space="preserve">Fig. </w:t>
                      </w:r>
                      <w:r>
                        <w:rPr>
                          <w:sz w:val="18"/>
                          <w:lang w:val="en-US"/>
                        </w:rPr>
                        <w:t>5</w:t>
                      </w:r>
                      <w:r w:rsidRPr="00C87809">
                        <w:rPr>
                          <w:sz w:val="22"/>
                          <w:szCs w:val="22"/>
                          <w:lang w:eastAsia="ja-JP"/>
                        </w:rPr>
                        <w:t xml:space="preserve"> </w:t>
                      </w:r>
                      <w:r w:rsidRPr="00D8695C">
                        <w:rPr>
                          <w:rFonts w:ascii="Calibri" w:hAnsi="Calibri" w:cs="Calibri"/>
                          <w:sz w:val="18"/>
                        </w:rPr>
                        <w:t>(a) Primitive ring size distribution, (b) visualisation of surface-based cavities, and (c) weighted surface-based cavity volume distributions for P</w:t>
                      </w:r>
                      <w:r w:rsidRPr="00D8695C">
                        <w:rPr>
                          <w:rFonts w:ascii="Calibri" w:hAnsi="Calibri" w:cs="Calibri"/>
                          <w:sz w:val="18"/>
                          <w:vertAlign w:val="subscript"/>
                        </w:rPr>
                        <w:t>2</w:t>
                      </w:r>
                      <w:r w:rsidRPr="00D8695C">
                        <w:rPr>
                          <w:rFonts w:ascii="Calibri" w:hAnsi="Calibri" w:cs="Calibri"/>
                          <w:sz w:val="18"/>
                        </w:rPr>
                        <w:t>O</w:t>
                      </w:r>
                      <w:r w:rsidRPr="00D8695C">
                        <w:rPr>
                          <w:rFonts w:ascii="Calibri" w:hAnsi="Calibri" w:cs="Calibri"/>
                          <w:sz w:val="18"/>
                          <w:vertAlign w:val="subscript"/>
                        </w:rPr>
                        <w:t>5</w:t>
                      </w:r>
                      <w:r w:rsidRPr="00D8695C">
                        <w:rPr>
                          <w:rFonts w:ascii="Calibri" w:hAnsi="Calibri" w:cs="Calibri"/>
                          <w:sz w:val="18"/>
                        </w:rPr>
                        <w:t xml:space="preserve"> (upper panels) and SiO</w:t>
                      </w:r>
                      <w:r w:rsidRPr="00D8695C">
                        <w:rPr>
                          <w:rFonts w:ascii="Calibri" w:hAnsi="Calibri" w:cs="Calibri"/>
                          <w:sz w:val="18"/>
                          <w:vertAlign w:val="subscript"/>
                        </w:rPr>
                        <w:t>2</w:t>
                      </w:r>
                      <w:r w:rsidRPr="00D8695C">
                        <w:rPr>
                          <w:rFonts w:ascii="Calibri" w:hAnsi="Calibri" w:cs="Calibri"/>
                          <w:sz w:val="18"/>
                        </w:rPr>
                        <w:t xml:space="preserve"> (lower panels) glasses. In the visualisations, yellow, blue, and red </w:t>
                      </w:r>
                      <w:r w:rsidRPr="00D8695C">
                        <w:rPr>
                          <w:rFonts w:ascii="Calibri" w:hAnsi="Calibri" w:cs="Calibri"/>
                          <w:sz w:val="18"/>
                          <w:lang w:val="en-US"/>
                        </w:rPr>
                        <w:t>spheres</w:t>
                      </w:r>
                      <w:r w:rsidRPr="00D8695C">
                        <w:rPr>
                          <w:rFonts w:ascii="Calibri" w:hAnsi="Calibri" w:cs="Calibri"/>
                          <w:sz w:val="18"/>
                        </w:rPr>
                        <w:t xml:space="preserve"> represent P, Si, and O atoms, respectively, and green regions represent the cavities.</w:t>
                      </w:r>
                    </w:p>
                  </w:txbxContent>
                </v:textbox>
                <w10:wrap type="square"/>
              </v:shape>
            </w:pict>
          </mc:Fallback>
        </mc:AlternateContent>
      </w:r>
    </w:p>
    <w:p w14:paraId="41B05A8B" w14:textId="4997C6A5" w:rsidR="000906F8" w:rsidRPr="00592B76" w:rsidRDefault="00A70B16" w:rsidP="00592B76">
      <w:pPr>
        <w:pStyle w:val="08ArticleText"/>
        <w:spacing w:line="276" w:lineRule="auto"/>
        <w:rPr>
          <w:rFonts w:asciiTheme="minorHAnsi" w:hAnsiTheme="minorHAnsi" w:cstheme="minorHAnsi"/>
          <w:b/>
          <w:bCs/>
          <w:lang w:val="en-US" w:eastAsia="ja-JP"/>
        </w:rPr>
      </w:pPr>
      <w:r w:rsidRPr="00592B76">
        <w:rPr>
          <w:rFonts w:asciiTheme="minorHAnsi" w:hAnsiTheme="minorHAnsi" w:cstheme="minorHAnsi"/>
          <w:b/>
          <w:bCs/>
        </w:rPr>
        <w:t xml:space="preserve">3.3 </w:t>
      </w:r>
      <w:r w:rsidR="00A75AB1" w:rsidRPr="00592B76">
        <w:rPr>
          <w:rFonts w:asciiTheme="minorHAnsi" w:hAnsiTheme="minorHAnsi" w:cstheme="minorHAnsi"/>
          <w:b/>
          <w:bCs/>
        </w:rPr>
        <w:t>Ring size distribution and cavity analyses</w:t>
      </w:r>
    </w:p>
    <w:p w14:paraId="3992E5F3" w14:textId="5578E375" w:rsidR="00B34ABB" w:rsidRPr="005130A1" w:rsidRDefault="00D3337E" w:rsidP="004665DA">
      <w:pPr>
        <w:pStyle w:val="08ArticleText"/>
        <w:spacing w:line="276" w:lineRule="auto"/>
        <w:rPr>
          <w:color w:val="EE0000"/>
          <w:lang w:val="en-US" w:eastAsia="ja-JP"/>
        </w:rPr>
      </w:pPr>
      <w:r w:rsidRPr="002C1A46">
        <w:t>Figure 5(a) shows the primitive (P–</w:t>
      </w:r>
      <w:proofErr w:type="gramStart"/>
      <w:r w:rsidRPr="002C1A46">
        <w:t>O)</w:t>
      </w:r>
      <w:r w:rsidRPr="002C1A46">
        <w:rPr>
          <w:i/>
          <w:iCs/>
          <w:vertAlign w:val="subscript"/>
        </w:rPr>
        <w:t>n</w:t>
      </w:r>
      <w:proofErr w:type="gramEnd"/>
      <w:r w:rsidRPr="002C1A46">
        <w:t xml:space="preserve"> and (Si–</w:t>
      </w:r>
      <w:proofErr w:type="gramStart"/>
      <w:r w:rsidRPr="002C1A46">
        <w:t>O)</w:t>
      </w:r>
      <w:r w:rsidRPr="002C1A46">
        <w:rPr>
          <w:i/>
          <w:iCs/>
          <w:vertAlign w:val="subscript"/>
        </w:rPr>
        <w:t>n</w:t>
      </w:r>
      <w:proofErr w:type="gramEnd"/>
      <w:r w:rsidRPr="002C1A46">
        <w:t xml:space="preserve"> ring size distributions calculated from the RMC–MD models. The ring size distribution provide</w:t>
      </w:r>
      <w:r w:rsidR="00D701CC" w:rsidRPr="002C1A46">
        <w:t>s</w:t>
      </w:r>
      <w:r w:rsidRPr="002C1A46">
        <w:t xml:space="preserve"> a direct representation of the topological features associated with the Q</w:t>
      </w:r>
      <w:r w:rsidRPr="002C1A46">
        <w:rPr>
          <w:vertAlign w:val="superscript"/>
        </w:rPr>
        <w:t>3</w:t>
      </w:r>
      <w:r w:rsidRPr="002C1A46">
        <w:t xml:space="preserve"> and Q</w:t>
      </w:r>
      <w:r w:rsidRPr="002C1A46">
        <w:rPr>
          <w:vertAlign w:val="superscript"/>
        </w:rPr>
        <w:t>4</w:t>
      </w:r>
      <w:r w:rsidRPr="002C1A46">
        <w:t xml:space="preserve"> networks. It is well known that SiO</w:t>
      </w:r>
      <w:r w:rsidRPr="002C1A46">
        <w:rPr>
          <w:vertAlign w:val="subscript"/>
        </w:rPr>
        <w:t>2</w:t>
      </w:r>
      <w:r w:rsidRPr="002C1A46">
        <w:t xml:space="preserve"> glass shows a broad ring size distribution,</w:t>
      </w:r>
      <w:r w:rsidR="00831F48" w:rsidRPr="002C1A46">
        <w:rPr>
          <w:vertAlign w:val="superscript"/>
        </w:rPr>
        <w:t>46</w:t>
      </w:r>
      <w:r w:rsidR="00831F48" w:rsidRPr="002C1A46">
        <w:t xml:space="preserve"> </w:t>
      </w:r>
      <w:r w:rsidRPr="002C1A46">
        <w:t>with six-fold rings, corresponding to the only possible ring structures in the crystalline phase with comparable density (cristobalite),</w:t>
      </w:r>
      <w:r w:rsidR="00831F48" w:rsidRPr="002C1A46">
        <w:rPr>
          <w:vertAlign w:val="superscript"/>
        </w:rPr>
        <w:t>41</w:t>
      </w:r>
      <w:r w:rsidRPr="002C1A46">
        <w:t xml:space="preserve"> being most frequent. This broad distribution is a key feature of glass and is often described as “topological disorder”.</w:t>
      </w:r>
      <w:r w:rsidR="00831F48" w:rsidRPr="002C1A46">
        <w:rPr>
          <w:vertAlign w:val="superscript"/>
        </w:rPr>
        <w:t>47</w:t>
      </w:r>
      <w:r w:rsidRPr="002C1A46">
        <w:t xml:space="preserve"> Here, this term may be understood as reflecting the absence of a unique network topology and the resulting structural diversity at the intermediate-range scale. P</w:t>
      </w:r>
      <w:r w:rsidRPr="002C1A46">
        <w:rPr>
          <w:vertAlign w:val="subscript"/>
        </w:rPr>
        <w:t>2</w:t>
      </w:r>
      <w:r w:rsidRPr="002C1A46">
        <w:t>O</w:t>
      </w:r>
      <w:r w:rsidRPr="002C1A46">
        <w:rPr>
          <w:vertAlign w:val="subscript"/>
        </w:rPr>
        <w:t>5</w:t>
      </w:r>
      <w:r w:rsidRPr="002C1A46">
        <w:t xml:space="preserve"> glass exhibits an even broader distribution due to the presence of NBOs, which disrupt the PO</w:t>
      </w:r>
      <w:r w:rsidRPr="002C1A46">
        <w:rPr>
          <w:vertAlign w:val="subscript"/>
        </w:rPr>
        <w:t>4</w:t>
      </w:r>
      <w:r w:rsidRPr="002C1A46">
        <w:t xml:space="preserve"> tetrahedral network, leading to the formation of large rings. Similar behaviour has been reported in silicate glasses, where the addition of alkali ions disrupts the Si–O network and generates NBOs, resulting in the formation of larger rings.</w:t>
      </w:r>
      <w:r w:rsidRPr="002C1A46">
        <w:rPr>
          <w:vertAlign w:val="superscript"/>
        </w:rPr>
        <w:t>26</w:t>
      </w:r>
      <w:r w:rsidRPr="002C1A46">
        <w:t xml:space="preserve"> Notably, in P</w:t>
      </w:r>
      <w:r w:rsidRPr="002C1A46">
        <w:rPr>
          <w:vertAlign w:val="subscript"/>
        </w:rPr>
        <w:t>2</w:t>
      </w:r>
      <w:r w:rsidRPr="002C1A46">
        <w:t>O</w:t>
      </w:r>
      <w:r w:rsidRPr="002C1A46">
        <w:rPr>
          <w:vertAlign w:val="subscript"/>
        </w:rPr>
        <w:t>5</w:t>
      </w:r>
      <w:r w:rsidRPr="002C1A46">
        <w:t xml:space="preserve"> glass, the fraction of the larger rings (</w:t>
      </w:r>
      <w:r w:rsidRPr="002C1A46">
        <w:rPr>
          <w:i/>
          <w:iCs/>
        </w:rPr>
        <w:t>n</w:t>
      </w:r>
      <w:r w:rsidRPr="002C1A46">
        <w:t xml:space="preserve"> ≥ 10) is approximately 65%, compared to only ~1% in SiO</w:t>
      </w:r>
      <w:r w:rsidRPr="002C1A46">
        <w:rPr>
          <w:vertAlign w:val="subscript"/>
        </w:rPr>
        <w:t>2</w:t>
      </w:r>
      <w:r w:rsidRPr="002C1A46">
        <w:t xml:space="preserve"> glass. This broad and diverse ring size distribution highlights the significantly greater structural diversity at the </w:t>
      </w:r>
      <w:proofErr w:type="gramStart"/>
      <w:r w:rsidRPr="002C1A46">
        <w:t>intermediate-range</w:t>
      </w:r>
      <w:proofErr w:type="gramEnd"/>
      <w:r w:rsidRPr="002C1A46">
        <w:t xml:space="preserve"> in the Q</w:t>
      </w:r>
      <w:r w:rsidRPr="002C1A46">
        <w:rPr>
          <w:vertAlign w:val="superscript"/>
        </w:rPr>
        <w:t>3</w:t>
      </w:r>
      <w:r w:rsidRPr="002C1A46">
        <w:t xml:space="preserve"> network of P</w:t>
      </w:r>
      <w:r w:rsidRPr="002C1A46">
        <w:rPr>
          <w:vertAlign w:val="subscript"/>
        </w:rPr>
        <w:t>2</w:t>
      </w:r>
      <w:r w:rsidRPr="002C1A46">
        <w:t>O</w:t>
      </w:r>
      <w:r w:rsidRPr="002C1A46">
        <w:rPr>
          <w:vertAlign w:val="subscript"/>
        </w:rPr>
        <w:t>5</w:t>
      </w:r>
      <w:r w:rsidRPr="002C1A46">
        <w:t xml:space="preserve"> glass, which underlies the multiple forms of topological ordering observed in the </w:t>
      </w:r>
      <w:r w:rsidRPr="002C1A46">
        <w:rPr>
          <w:i/>
          <w:iCs/>
        </w:rPr>
        <w:t>S</w:t>
      </w:r>
      <w:r w:rsidRPr="002C1A46">
        <w:rPr>
          <w:vertAlign w:val="subscript"/>
        </w:rPr>
        <w:t>NN</w:t>
      </w:r>
      <w:r w:rsidRPr="002C1A46">
        <w:t>(</w:t>
      </w:r>
      <w:r w:rsidRPr="002C1A46">
        <w:rPr>
          <w:i/>
          <w:iCs/>
        </w:rPr>
        <w:t>Q</w:t>
      </w:r>
      <w:r w:rsidRPr="002C1A46">
        <w:t>).</w:t>
      </w:r>
    </w:p>
    <w:p w14:paraId="2AA0F46C" w14:textId="5539140E" w:rsidR="004E25E0" w:rsidRPr="002C1A46" w:rsidRDefault="00D3337E" w:rsidP="00D3337E">
      <w:pPr>
        <w:pStyle w:val="08ArticleText"/>
        <w:spacing w:line="276" w:lineRule="auto"/>
        <w:ind w:firstLineChars="150" w:firstLine="291"/>
      </w:pPr>
      <w:r w:rsidRPr="002C1A46">
        <w:t>The surface-based cavities are visualised in Fig. 5(b). P</w:t>
      </w:r>
      <w:r w:rsidRPr="002C1A46">
        <w:rPr>
          <w:vertAlign w:val="subscript"/>
        </w:rPr>
        <w:t>2</w:t>
      </w:r>
      <w:r w:rsidRPr="002C1A46">
        <w:t>O</w:t>
      </w:r>
      <w:r w:rsidRPr="002C1A46">
        <w:rPr>
          <w:vertAlign w:val="subscript"/>
        </w:rPr>
        <w:t>5</w:t>
      </w:r>
      <w:r w:rsidRPr="002C1A46">
        <w:t xml:space="preserve"> glass exhibits a cavity volume ratio of 18.7%, whereas SiO</w:t>
      </w:r>
      <w:r w:rsidRPr="002C1A46">
        <w:rPr>
          <w:vertAlign w:val="subscript"/>
        </w:rPr>
        <w:t>2</w:t>
      </w:r>
      <w:r w:rsidRPr="002C1A46">
        <w:t xml:space="preserve"> glass shows a larger, string-like cavity with a cavity volume ratio of </w:t>
      </w:r>
      <w:r w:rsidR="00A83A4A" w:rsidRPr="002C1A46">
        <w:t>33.7</w:t>
      </w:r>
      <w:r w:rsidRPr="002C1A46">
        <w:t>%. Although the number density of P</w:t>
      </w:r>
      <w:r w:rsidRPr="002C1A46">
        <w:rPr>
          <w:vertAlign w:val="subscript"/>
        </w:rPr>
        <w:t>2</w:t>
      </w:r>
      <w:r w:rsidRPr="002C1A46">
        <w:t>O</w:t>
      </w:r>
      <w:r w:rsidRPr="002C1A46">
        <w:rPr>
          <w:vertAlign w:val="subscript"/>
        </w:rPr>
        <w:t>5</w:t>
      </w:r>
      <w:r w:rsidRPr="002C1A46">
        <w:t xml:space="preserve"> glass (0.07083 Å</w:t>
      </w:r>
      <w:r w:rsidRPr="002C1A46">
        <w:rPr>
          <w:vertAlign w:val="superscript"/>
        </w:rPr>
        <w:t>–3</w:t>
      </w:r>
      <w:r w:rsidRPr="002C1A46">
        <w:t>) is greater than that of SiO</w:t>
      </w:r>
      <w:r w:rsidRPr="002C1A46">
        <w:rPr>
          <w:vertAlign w:val="subscript"/>
        </w:rPr>
        <w:t>2</w:t>
      </w:r>
      <w:r w:rsidRPr="002C1A46">
        <w:t xml:space="preserve"> glass (0.06615 Å</w:t>
      </w:r>
      <w:r w:rsidRPr="002C1A46">
        <w:rPr>
          <w:vertAlign w:val="superscript"/>
        </w:rPr>
        <w:t>–3</w:t>
      </w:r>
      <w:r w:rsidRPr="002C1A46">
        <w:t>), P</w:t>
      </w:r>
      <w:r w:rsidRPr="002C1A46">
        <w:rPr>
          <w:vertAlign w:val="subscript"/>
        </w:rPr>
        <w:t>2</w:t>
      </w:r>
      <w:r w:rsidRPr="002C1A46">
        <w:t>O</w:t>
      </w:r>
      <w:r w:rsidRPr="002C1A46">
        <w:rPr>
          <w:vertAlign w:val="subscript"/>
        </w:rPr>
        <w:t xml:space="preserve">5 </w:t>
      </w:r>
      <w:r w:rsidRPr="002C1A46">
        <w:t>glass contains a large number of large rings. Nevertheless, a significant reduction in the cavity volume ratio is observed in P</w:t>
      </w:r>
      <w:r w:rsidRPr="002C1A46">
        <w:rPr>
          <w:vertAlign w:val="subscript"/>
        </w:rPr>
        <w:t>2</w:t>
      </w:r>
      <w:r w:rsidRPr="002C1A46">
        <w:t>O</w:t>
      </w:r>
      <w:r w:rsidRPr="002C1A46">
        <w:rPr>
          <w:vertAlign w:val="subscript"/>
        </w:rPr>
        <w:t>5</w:t>
      </w:r>
      <w:r w:rsidRPr="002C1A46">
        <w:t xml:space="preserve"> glass compared with SiO</w:t>
      </w:r>
      <w:r w:rsidRPr="002C1A46">
        <w:rPr>
          <w:vertAlign w:val="subscript"/>
        </w:rPr>
        <w:t>2</w:t>
      </w:r>
      <w:r w:rsidRPr="002C1A46">
        <w:t xml:space="preserve"> glass. In the cavity volume distributions (Fig. 5(c)), the volume of the largest cavity in P</w:t>
      </w:r>
      <w:r w:rsidRPr="002C1A46">
        <w:rPr>
          <w:vertAlign w:val="subscript"/>
        </w:rPr>
        <w:t>2</w:t>
      </w:r>
      <w:r w:rsidRPr="002C1A46">
        <w:t>O</w:t>
      </w:r>
      <w:r w:rsidRPr="002C1A46">
        <w:rPr>
          <w:vertAlign w:val="subscript"/>
        </w:rPr>
        <w:t>5</w:t>
      </w:r>
      <w:r w:rsidRPr="002C1A46">
        <w:t xml:space="preserve"> glass is </w:t>
      </w:r>
      <w:r w:rsidR="00FA4755" w:rsidRPr="002C1A46">
        <w:t xml:space="preserve">15483 </w:t>
      </w:r>
      <w:r w:rsidRPr="002C1A46">
        <w:t>Å</w:t>
      </w:r>
      <w:r w:rsidRPr="002C1A46">
        <w:rPr>
          <w:vertAlign w:val="superscript"/>
        </w:rPr>
        <w:t>3</w:t>
      </w:r>
      <w:r w:rsidRPr="002C1A46">
        <w:t>,</w:t>
      </w:r>
      <w:r w:rsidRPr="002C1A46">
        <w:rPr>
          <w:vertAlign w:val="superscript"/>
        </w:rPr>
        <w:t xml:space="preserve"> </w:t>
      </w:r>
      <w:r w:rsidRPr="002C1A46">
        <w:t>whereas that in SiO</w:t>
      </w:r>
      <w:r w:rsidRPr="002C1A46">
        <w:rPr>
          <w:vertAlign w:val="subscript"/>
        </w:rPr>
        <w:t>2</w:t>
      </w:r>
      <w:r w:rsidRPr="002C1A46">
        <w:t xml:space="preserve"> glass is </w:t>
      </w:r>
      <w:r w:rsidR="00FA4755" w:rsidRPr="002C1A46">
        <w:t xml:space="preserve">45600 </w:t>
      </w:r>
      <w:r w:rsidRPr="002C1A46">
        <w:t>Å</w:t>
      </w:r>
      <w:r w:rsidRPr="002C1A46">
        <w:rPr>
          <w:vertAlign w:val="superscript"/>
        </w:rPr>
        <w:t>3</w:t>
      </w:r>
      <w:r w:rsidRPr="002C1A46">
        <w:t>. Furthermore, the cavities in P</w:t>
      </w:r>
      <w:r w:rsidRPr="002C1A46">
        <w:rPr>
          <w:vertAlign w:val="subscript"/>
        </w:rPr>
        <w:t>2</w:t>
      </w:r>
      <w:r w:rsidRPr="002C1A46">
        <w:t>O</w:t>
      </w:r>
      <w:r w:rsidRPr="002C1A46">
        <w:rPr>
          <w:vertAlign w:val="subscript"/>
        </w:rPr>
        <w:t>5</w:t>
      </w:r>
      <w:r w:rsidRPr="002C1A46">
        <w:t xml:space="preserve"> glass are fragmented into smaller regions. These results suggest that the structure of P</w:t>
      </w:r>
      <w:r w:rsidRPr="002C1A46">
        <w:rPr>
          <w:vertAlign w:val="subscript"/>
        </w:rPr>
        <w:t>2</w:t>
      </w:r>
      <w:r w:rsidRPr="002C1A46">
        <w:t>O</w:t>
      </w:r>
      <w:r w:rsidRPr="002C1A46">
        <w:rPr>
          <w:vertAlign w:val="subscript"/>
        </w:rPr>
        <w:t>5</w:t>
      </w:r>
      <w:r w:rsidRPr="002C1A46">
        <w:t xml:space="preserve"> glass is more disordered. In particular, the significant reduction in the cavity volume ratio, despite the presence of larger rings, suggests that the ring geometry within the network is highly distorted in P</w:t>
      </w:r>
      <w:r w:rsidRPr="002C1A46">
        <w:rPr>
          <w:vertAlign w:val="subscript"/>
        </w:rPr>
        <w:t>2</w:t>
      </w:r>
      <w:r w:rsidRPr="002C1A46">
        <w:t>O</w:t>
      </w:r>
      <w:r w:rsidRPr="002C1A46">
        <w:rPr>
          <w:vertAlign w:val="subscript"/>
        </w:rPr>
        <w:t>5</w:t>
      </w:r>
      <w:r w:rsidRPr="002C1A46">
        <w:t xml:space="preserve"> glass, rather than forming open, continuous cavities. This implies that, although large rings are present, they do not contribute to extended cavities but instead form irregular and spatially constrained network topologies. These findings indicate that the complex topological ordering indicated by the </w:t>
      </w:r>
      <w:r w:rsidRPr="002C1A46">
        <w:rPr>
          <w:i/>
          <w:iCs/>
        </w:rPr>
        <w:t>S</w:t>
      </w:r>
      <w:r w:rsidRPr="002C1A46">
        <w:rPr>
          <w:vertAlign w:val="subscript"/>
        </w:rPr>
        <w:t>NN</w:t>
      </w:r>
      <w:r w:rsidRPr="002C1A46">
        <w:t>(</w:t>
      </w:r>
      <w:r w:rsidRPr="002C1A46">
        <w:rPr>
          <w:i/>
          <w:iCs/>
        </w:rPr>
        <w:t>Q</w:t>
      </w:r>
      <w:r w:rsidRPr="002C1A46">
        <w:t>) for P</w:t>
      </w:r>
      <w:r w:rsidRPr="002C1A46">
        <w:rPr>
          <w:vertAlign w:val="subscript"/>
        </w:rPr>
        <w:t>2</w:t>
      </w:r>
      <w:r w:rsidRPr="002C1A46">
        <w:t>O</w:t>
      </w:r>
      <w:r w:rsidRPr="002C1A46">
        <w:rPr>
          <w:vertAlign w:val="subscript"/>
        </w:rPr>
        <w:t>5</w:t>
      </w:r>
      <w:r w:rsidRPr="002C1A46">
        <w:t xml:space="preserve"> glass is manifested in the formation of large, irregular rings, providing a real-space basis for the formation of the multiple intermediate-range orders in the Q</w:t>
      </w:r>
      <w:r w:rsidRPr="002C1A46">
        <w:rPr>
          <w:vertAlign w:val="superscript"/>
        </w:rPr>
        <w:t>3</w:t>
      </w:r>
      <w:r w:rsidRPr="002C1A46">
        <w:t xml:space="preserve"> network.</w:t>
      </w:r>
    </w:p>
    <w:p w14:paraId="4AC57857" w14:textId="2244ED7C" w:rsidR="0040786B" w:rsidRPr="002C1A46" w:rsidRDefault="0040786B" w:rsidP="00294A56">
      <w:pPr>
        <w:pStyle w:val="08ArticleText"/>
        <w:spacing w:line="276" w:lineRule="auto"/>
        <w:rPr>
          <w:lang w:eastAsia="ja-JP"/>
        </w:rPr>
      </w:pPr>
    </w:p>
    <w:p w14:paraId="4BA82F4F" w14:textId="1293505E" w:rsidR="004355D0" w:rsidRPr="002C1A46" w:rsidRDefault="004355D0" w:rsidP="004355D0">
      <w:pPr>
        <w:pStyle w:val="RSCB06BHeadingSub-Section"/>
      </w:pPr>
      <w:r w:rsidRPr="002C1A46">
        <w:t xml:space="preserve">3.4 </w:t>
      </w:r>
      <w:r w:rsidR="00D3337E" w:rsidRPr="002C1A46">
        <w:t>Two distinct intermediate-range orders in P</w:t>
      </w:r>
      <w:r w:rsidR="00D3337E" w:rsidRPr="002C1A46">
        <w:rPr>
          <w:vertAlign w:val="subscript"/>
        </w:rPr>
        <w:t>2</w:t>
      </w:r>
      <w:r w:rsidR="00D3337E" w:rsidRPr="002C1A46">
        <w:t>O</w:t>
      </w:r>
      <w:r w:rsidR="00D3337E" w:rsidRPr="002C1A46">
        <w:rPr>
          <w:vertAlign w:val="subscript"/>
        </w:rPr>
        <w:t>5</w:t>
      </w:r>
      <w:r w:rsidR="00D3337E" w:rsidRPr="002C1A46">
        <w:t xml:space="preserve"> glass</w:t>
      </w:r>
    </w:p>
    <w:p w14:paraId="53D725A7" w14:textId="6CE6F969" w:rsidR="000906F8" w:rsidRPr="002C1A46" w:rsidRDefault="00D8695C" w:rsidP="00D3337E">
      <w:pPr>
        <w:pStyle w:val="08ArticleText"/>
        <w:spacing w:line="276" w:lineRule="auto"/>
      </w:pPr>
      <w:r w:rsidRPr="002C1A46">
        <w:t xml:space="preserve">Figure 6(a) compares the neutron and X-ray total structure factors, </w:t>
      </w:r>
      <w:r w:rsidRPr="002C1A46">
        <w:rPr>
          <w:i/>
          <w:iCs/>
        </w:rPr>
        <w:t>S</w:t>
      </w:r>
      <w:r w:rsidRPr="002C1A46">
        <w:t>(</w:t>
      </w:r>
      <w:r w:rsidRPr="002C1A46">
        <w:rPr>
          <w:i/>
          <w:iCs/>
        </w:rPr>
        <w:t>Q</w:t>
      </w:r>
      <w:r w:rsidRPr="002C1A46">
        <w:t xml:space="preserve">), with the FZ partial structure factors, </w:t>
      </w:r>
      <w:r w:rsidRPr="002C1A46">
        <w:rPr>
          <w:i/>
          <w:iCs/>
        </w:rPr>
        <w:t>S</w:t>
      </w:r>
      <w:r w:rsidRPr="002C1A46">
        <w:rPr>
          <w:i/>
          <w:iCs/>
          <w:vertAlign w:val="subscript"/>
        </w:rPr>
        <w:t>αβ</w:t>
      </w:r>
      <w:r w:rsidRPr="002C1A46">
        <w:t>(</w:t>
      </w:r>
      <w:r w:rsidRPr="002C1A46">
        <w:rPr>
          <w:i/>
          <w:iCs/>
        </w:rPr>
        <w:t>Q</w:t>
      </w:r>
      <w:r w:rsidRPr="002C1A46">
        <w:t>) for P</w:t>
      </w:r>
      <w:r w:rsidRPr="002C1A46">
        <w:rPr>
          <w:vertAlign w:val="subscript"/>
        </w:rPr>
        <w:t>2</w:t>
      </w:r>
      <w:r w:rsidRPr="002C1A46">
        <w:t>O</w:t>
      </w:r>
      <w:r w:rsidRPr="002C1A46">
        <w:rPr>
          <w:vertAlign w:val="subscript"/>
        </w:rPr>
        <w:t>5</w:t>
      </w:r>
      <w:r w:rsidRPr="002C1A46">
        <w:t xml:space="preserve"> glass. Note that </w:t>
      </w:r>
      <w:r w:rsidRPr="002C1A46">
        <w:rPr>
          <w:i/>
          <w:iCs/>
        </w:rPr>
        <w:t>S</w:t>
      </w:r>
      <w:r w:rsidRPr="002C1A46">
        <w:rPr>
          <w:i/>
          <w:iCs/>
          <w:vertAlign w:val="subscript"/>
        </w:rPr>
        <w:t>αβ</w:t>
      </w:r>
      <w:r w:rsidRPr="002C1A46">
        <w:t>(</w:t>
      </w:r>
      <w:r w:rsidRPr="002C1A46">
        <w:rPr>
          <w:i/>
          <w:iCs/>
        </w:rPr>
        <w:t>Q</w:t>
      </w:r>
      <w:r w:rsidRPr="002C1A46">
        <w:t>) was calculated from the RMC–MD model by distinguishing BOs and NBOs to clarify the origins of the doublet FSDP. It is concluded that FSDP1, observed on the lower-</w:t>
      </w:r>
      <w:r w:rsidRPr="002C1A46">
        <w:rPr>
          <w:i/>
          <w:iCs/>
        </w:rPr>
        <w:t>Q</w:t>
      </w:r>
      <w:r w:rsidRPr="002C1A46">
        <w:t xml:space="preserve"> side (</w:t>
      </w:r>
      <w:r w:rsidRPr="002C1A46">
        <w:rPr>
          <w:i/>
          <w:iCs/>
        </w:rPr>
        <w:t>Q</w:t>
      </w:r>
      <w:r w:rsidRPr="002C1A46">
        <w:t xml:space="preserve"> = 1.3 Å</w:t>
      </w:r>
      <w:r w:rsidRPr="002C1A46">
        <w:rPr>
          <w:vertAlign w:val="superscript"/>
        </w:rPr>
        <w:t>–1</w:t>
      </w:r>
      <w:r w:rsidRPr="002C1A46">
        <w:t>), arises from contributions from P–BO and BO–BO correlations, whereas FSDP2, observed on the higher-</w:t>
      </w:r>
      <w:r w:rsidRPr="002C1A46">
        <w:rPr>
          <w:i/>
          <w:iCs/>
        </w:rPr>
        <w:t>Q</w:t>
      </w:r>
      <w:r w:rsidRPr="002C1A46">
        <w:t xml:space="preserve"> side (</w:t>
      </w:r>
      <w:r w:rsidRPr="002C1A46">
        <w:rPr>
          <w:i/>
          <w:iCs/>
        </w:rPr>
        <w:t>Q</w:t>
      </w:r>
      <w:r w:rsidRPr="002C1A46">
        <w:t xml:space="preserve"> = 2.1 Å</w:t>
      </w:r>
      <w:r w:rsidRPr="002C1A46">
        <w:rPr>
          <w:vertAlign w:val="superscript"/>
        </w:rPr>
        <w:t>–1</w:t>
      </w:r>
      <w:r w:rsidRPr="002C1A46">
        <w:t>), originates from P–NBO and NBO–NBO correlations. These results clearly demonstrate that the two FSDPs originate from distinct topological orderings associated with BO- and NBO-centred correlations. The associated intermediate-range orders have a periodicity of 2π/</w:t>
      </w:r>
      <w:r w:rsidRPr="002C1A46">
        <w:rPr>
          <w:i/>
          <w:iCs/>
        </w:rPr>
        <w:t>Q</w:t>
      </w:r>
      <w:r w:rsidRPr="002C1A46">
        <w:rPr>
          <w:vertAlign w:val="subscript"/>
        </w:rPr>
        <w:t>FSDP</w:t>
      </w:r>
      <w:r w:rsidRPr="002C1A46">
        <w:t xml:space="preserve"> and a coherence length of 2π/Δ</w:t>
      </w:r>
      <w:r w:rsidRPr="002C1A46">
        <w:rPr>
          <w:i/>
          <w:iCs/>
        </w:rPr>
        <w:t>Q</w:t>
      </w:r>
      <w:r w:rsidRPr="002C1A46">
        <w:rPr>
          <w:vertAlign w:val="subscript"/>
        </w:rPr>
        <w:t>FSDP</w:t>
      </w:r>
      <w:r w:rsidRPr="002C1A46">
        <w:t xml:space="preserve">, where </w:t>
      </w:r>
      <w:r w:rsidRPr="002C1A46">
        <w:rPr>
          <w:i/>
          <w:iCs/>
        </w:rPr>
        <w:t>Q</w:t>
      </w:r>
      <w:r w:rsidRPr="002C1A46">
        <w:rPr>
          <w:vertAlign w:val="subscript"/>
        </w:rPr>
        <w:t>FSDP</w:t>
      </w:r>
      <w:r w:rsidRPr="002C1A46">
        <w:t xml:space="preserve"> and Δ</w:t>
      </w:r>
      <w:r w:rsidRPr="002C1A46">
        <w:rPr>
          <w:i/>
          <w:iCs/>
        </w:rPr>
        <w:t>Q</w:t>
      </w:r>
      <w:r w:rsidRPr="002C1A46">
        <w:rPr>
          <w:vertAlign w:val="subscript"/>
        </w:rPr>
        <w:t>FSDP</w:t>
      </w:r>
      <w:r w:rsidRPr="002C1A46">
        <w:t xml:space="preserve"> denote the position and the full width at half maximum of the FSDP.</w:t>
      </w:r>
      <w:r w:rsidR="00BF2C47" w:rsidRPr="002C1A46">
        <w:rPr>
          <w:vertAlign w:val="superscript"/>
        </w:rPr>
        <w:t>41</w:t>
      </w:r>
      <w:r w:rsidRPr="002C1A46">
        <w:rPr>
          <w:vertAlign w:val="superscript"/>
        </w:rPr>
        <w:t>,</w:t>
      </w:r>
      <w:r w:rsidR="00BF2C47" w:rsidRPr="002C1A46">
        <w:rPr>
          <w:vertAlign w:val="superscript"/>
        </w:rPr>
        <w:t>46</w:t>
      </w:r>
      <w:r w:rsidRPr="002C1A46">
        <w:rPr>
          <w:vertAlign w:val="superscript"/>
        </w:rPr>
        <w:t>,</w:t>
      </w:r>
      <w:r w:rsidR="00BF2C47" w:rsidRPr="002C1A46">
        <w:rPr>
          <w:vertAlign w:val="superscript"/>
        </w:rPr>
        <w:t>47</w:t>
      </w:r>
      <w:r w:rsidR="00BF2C47" w:rsidRPr="002C1A46">
        <w:t xml:space="preserve"> </w:t>
      </w:r>
      <w:r w:rsidRPr="002C1A46">
        <w:t>In the case of the two FSDPs in P</w:t>
      </w:r>
      <w:r w:rsidRPr="002C1A46">
        <w:rPr>
          <w:vertAlign w:val="subscript"/>
        </w:rPr>
        <w:t>2</w:t>
      </w:r>
      <w:r w:rsidRPr="002C1A46">
        <w:t>O</w:t>
      </w:r>
      <w:r w:rsidRPr="002C1A46">
        <w:rPr>
          <w:vertAlign w:val="subscript"/>
        </w:rPr>
        <w:t>5</w:t>
      </w:r>
      <w:r w:rsidRPr="002C1A46">
        <w:t xml:space="preserve"> glass, the periodicity and coherence length are 4.83 Å and 9.78 Å for FSDP1, and 3.00 Å and 5.01 Å for FSDP2, respectively. Based on these characteristic length scales, representative atomic configurations corresponding to the origins of the two FSDPs in P</w:t>
      </w:r>
      <w:r w:rsidRPr="002C1A46">
        <w:rPr>
          <w:vertAlign w:val="subscript"/>
        </w:rPr>
        <w:t>2</w:t>
      </w:r>
      <w:r w:rsidRPr="002C1A46">
        <w:t>O</w:t>
      </w:r>
      <w:r w:rsidRPr="002C1A46">
        <w:rPr>
          <w:vertAlign w:val="subscript"/>
        </w:rPr>
        <w:t>5</w:t>
      </w:r>
      <w:r w:rsidRPr="002C1A46">
        <w:t xml:space="preserve"> glass were extracted from the RMC–MD model (Figs. 6(b) and (c)). For FSDP1, the corresponding intermediate-range order can be interpreted as a periodic arrangement of the </w:t>
      </w:r>
      <w:r w:rsidR="00561ED0" w:rsidRPr="002C1A46">
        <w:t>P–BO</w:t>
      </w:r>
      <w:r w:rsidRPr="002C1A46">
        <w:t xml:space="preserve"> network extending across the cavities (highlighted in magenta in Fig. 6(b)). The flattened network cages reported by Hoppe</w:t>
      </w:r>
      <w:r w:rsidRPr="002C1A46">
        <w:rPr>
          <w:vertAlign w:val="superscript"/>
        </w:rPr>
        <w:t>20</w:t>
      </w:r>
      <w:r w:rsidRPr="002C1A46">
        <w:t xml:space="preserve"> </w:t>
      </w:r>
      <w:r w:rsidR="001F05C4" w:rsidRPr="002C1A46">
        <w:rPr>
          <w:noProof/>
          <w:w w:val="100"/>
        </w:rPr>
        <w:lastRenderedPageBreak/>
        <mc:AlternateContent>
          <mc:Choice Requires="wps">
            <w:drawing>
              <wp:anchor distT="0" distB="0" distL="114300" distR="114300" simplePos="0" relativeHeight="251739136" behindDoc="0" locked="0" layoutInCell="1" allowOverlap="1" wp14:anchorId="6C62EAB1" wp14:editId="5D43A0F6">
                <wp:simplePos x="0" y="0"/>
                <wp:positionH relativeFrom="column">
                  <wp:posOffset>-7408</wp:posOffset>
                </wp:positionH>
                <wp:positionV relativeFrom="paragraph">
                  <wp:posOffset>0</wp:posOffset>
                </wp:positionV>
                <wp:extent cx="6484620" cy="4267200"/>
                <wp:effectExtent l="0" t="0" r="5080" b="0"/>
                <wp:wrapSquare wrapText="bothSides"/>
                <wp:docPr id="192069189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484620" cy="4267200"/>
                        </a:xfrm>
                        <a:prstGeom prst="rect">
                          <a:avLst/>
                        </a:prstGeom>
                        <a:solidFill>
                          <a:srgbClr val="FFFFFF"/>
                        </a:solidFill>
                        <a:ln w="9525">
                          <a:noFill/>
                          <a:miter lim="800000"/>
                          <a:headEnd/>
                          <a:tailEnd/>
                        </a:ln>
                      </wps:spPr>
                      <wps:txbx>
                        <w:txbxContent>
                          <w:p w14:paraId="71CEBD87" w14:textId="5BCC4E63" w:rsidR="00D8695C" w:rsidRDefault="001F05C4" w:rsidP="00D8695C">
                            <w:pPr>
                              <w:pStyle w:val="RSCI05CaptiontoFigureSchemeChartwithbottombar"/>
                              <w:spacing w:after="0" w:line="240" w:lineRule="auto"/>
                              <w:jc w:val="center"/>
                              <w:rPr>
                                <w:spacing w:val="-2"/>
                                <w:sz w:val="18"/>
                                <w:lang w:val="en-US"/>
                              </w:rPr>
                            </w:pPr>
                            <w:r w:rsidRPr="001F05C4">
                              <w:rPr>
                                <w:noProof/>
                                <w:spacing w:val="-2"/>
                                <w:sz w:val="18"/>
                                <w:lang w:val="en-US"/>
                              </w:rPr>
                              <w:drawing>
                                <wp:inline distT="0" distB="0" distL="0" distR="0" wp14:anchorId="47E805F4" wp14:editId="65A59A16">
                                  <wp:extent cx="5040360" cy="3276000"/>
                                  <wp:effectExtent l="0" t="0" r="1905" b="635"/>
                                  <wp:docPr id="17441374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51152" name=""/>
                                          <pic:cNvPicPr/>
                                        </pic:nvPicPr>
                                        <pic:blipFill>
                                          <a:blip r:embed="rId22"/>
                                          <a:stretch>
                                            <a:fillRect/>
                                          </a:stretch>
                                        </pic:blipFill>
                                        <pic:spPr>
                                          <a:xfrm>
                                            <a:off x="0" y="0"/>
                                            <a:ext cx="5040360" cy="3276000"/>
                                          </a:xfrm>
                                          <a:prstGeom prst="rect">
                                            <a:avLst/>
                                          </a:prstGeom>
                                        </pic:spPr>
                                      </pic:pic>
                                    </a:graphicData>
                                  </a:graphic>
                                </wp:inline>
                              </w:drawing>
                            </w:r>
                          </w:p>
                          <w:p w14:paraId="2349E1ED" w14:textId="1984E6A0" w:rsidR="00D8695C" w:rsidRPr="00D8695C" w:rsidRDefault="00D8695C" w:rsidP="00D8695C">
                            <w:pPr>
                              <w:pStyle w:val="RSCI05CaptiontoFigureSchemeChartwithbottombar"/>
                              <w:spacing w:afterLines="1000" w:after="2400" w:line="240" w:lineRule="auto"/>
                              <w:rPr>
                                <w:rFonts w:ascii="Calibri" w:hAnsi="Calibri" w:cs="Calibri"/>
                                <w:spacing w:val="-2"/>
                                <w:sz w:val="18"/>
                                <w:lang w:val="en-US"/>
                              </w:rPr>
                            </w:pPr>
                            <w:r w:rsidRPr="00261C09">
                              <w:rPr>
                                <w:sz w:val="18"/>
                                <w:lang w:val="en-US"/>
                              </w:rPr>
                              <w:t xml:space="preserve">Fig. </w:t>
                            </w:r>
                            <w:r>
                              <w:rPr>
                                <w:sz w:val="18"/>
                                <w:lang w:val="en-US"/>
                              </w:rPr>
                              <w:t>6</w:t>
                            </w:r>
                            <w:r>
                              <w:rPr>
                                <w:rFonts w:ascii="Calibri" w:hAnsi="Calibri" w:cs="Calibri"/>
                                <w:sz w:val="18"/>
                              </w:rPr>
                              <w:t xml:space="preserve"> </w:t>
                            </w:r>
                            <w:r w:rsidRPr="00D8695C">
                              <w:rPr>
                                <w:rFonts w:ascii="Calibri" w:hAnsi="Calibri" w:cs="Calibri"/>
                                <w:sz w:val="18"/>
                              </w:rPr>
                              <w:t xml:space="preserve">(a) Neutron and X-ray total structure factors, </w:t>
                            </w:r>
                            <w:r w:rsidRPr="00D8695C">
                              <w:rPr>
                                <w:rFonts w:ascii="Calibri" w:hAnsi="Calibri" w:cs="Calibri"/>
                                <w:i/>
                                <w:iCs/>
                                <w:sz w:val="18"/>
                              </w:rPr>
                              <w:t>S</w:t>
                            </w:r>
                            <w:r w:rsidRPr="00D8695C">
                              <w:rPr>
                                <w:rFonts w:ascii="Calibri" w:hAnsi="Calibri" w:cs="Calibri"/>
                                <w:sz w:val="18"/>
                              </w:rPr>
                              <w:t>(</w:t>
                            </w:r>
                            <w:r w:rsidRPr="00D8695C">
                              <w:rPr>
                                <w:rFonts w:ascii="Calibri" w:hAnsi="Calibri" w:cs="Calibri"/>
                                <w:i/>
                                <w:iCs/>
                                <w:sz w:val="18"/>
                              </w:rPr>
                              <w:t>Q</w:t>
                            </w:r>
                            <w:r w:rsidRPr="00D8695C">
                              <w:rPr>
                                <w:rFonts w:ascii="Calibri" w:hAnsi="Calibri" w:cs="Calibri"/>
                                <w:sz w:val="18"/>
                              </w:rPr>
                              <w:t xml:space="preserve">), together with Faber–Ziman partial structure factors, </w:t>
                            </w:r>
                            <w:r w:rsidRPr="00D8695C">
                              <w:rPr>
                                <w:rFonts w:ascii="Calibri" w:hAnsi="Calibri" w:cs="Calibri"/>
                                <w:i/>
                                <w:iCs/>
                                <w:sz w:val="18"/>
                              </w:rPr>
                              <w:t>S</w:t>
                            </w:r>
                            <w:r w:rsidRPr="00D8695C">
                              <w:rPr>
                                <w:rFonts w:ascii="Calibri" w:hAnsi="Calibri" w:cs="Calibri"/>
                                <w:i/>
                                <w:iCs/>
                                <w:sz w:val="18"/>
                                <w:vertAlign w:val="subscript"/>
                              </w:rPr>
                              <w:t>αβ</w:t>
                            </w:r>
                            <w:r w:rsidRPr="00D8695C">
                              <w:rPr>
                                <w:rFonts w:ascii="Calibri" w:hAnsi="Calibri" w:cs="Calibri"/>
                                <w:sz w:val="18"/>
                              </w:rPr>
                              <w:t>(</w:t>
                            </w:r>
                            <w:r w:rsidRPr="00D8695C">
                              <w:rPr>
                                <w:rFonts w:ascii="Calibri" w:hAnsi="Calibri" w:cs="Calibri"/>
                                <w:i/>
                                <w:iCs/>
                                <w:sz w:val="18"/>
                              </w:rPr>
                              <w:t>Q</w:t>
                            </w:r>
                            <w:r w:rsidRPr="00D8695C">
                              <w:rPr>
                                <w:rFonts w:ascii="Calibri" w:hAnsi="Calibri" w:cs="Calibri"/>
                                <w:sz w:val="18"/>
                              </w:rPr>
                              <w:t>).</w:t>
                            </w:r>
                            <w:r w:rsidR="002F38EC">
                              <w:rPr>
                                <w:rFonts w:ascii="Calibri" w:hAnsi="Calibri" w:cs="Calibri"/>
                                <w:sz w:val="18"/>
                              </w:rPr>
                              <w:t xml:space="preserve"> </w:t>
                            </w:r>
                            <w:r w:rsidR="002F38EC" w:rsidRPr="00F772B6">
                              <w:rPr>
                                <w:rFonts w:ascii="Calibri" w:hAnsi="Calibri" w:cs="Calibri"/>
                                <w:sz w:val="18"/>
                              </w:rPr>
                              <w:t xml:space="preserve">The </w:t>
                            </w:r>
                            <w:r w:rsidR="002F38EC" w:rsidRPr="00F772B6">
                              <w:rPr>
                                <w:rFonts w:ascii="Calibri" w:hAnsi="Calibri" w:cs="Calibri"/>
                                <w:i/>
                                <w:iCs/>
                                <w:sz w:val="18"/>
                              </w:rPr>
                              <w:t>S</w:t>
                            </w:r>
                            <w:r w:rsidR="002F38EC" w:rsidRPr="00F772B6">
                              <w:rPr>
                                <w:rFonts w:ascii="Calibri" w:hAnsi="Calibri" w:cs="Calibri"/>
                                <w:i/>
                                <w:iCs/>
                                <w:sz w:val="18"/>
                                <w:vertAlign w:val="subscript"/>
                              </w:rPr>
                              <w:t>αβ</w:t>
                            </w:r>
                            <w:r w:rsidR="002F38EC" w:rsidRPr="00F772B6">
                              <w:rPr>
                                <w:rFonts w:ascii="Calibri" w:hAnsi="Calibri" w:cs="Calibri"/>
                                <w:sz w:val="18"/>
                              </w:rPr>
                              <w:t>(</w:t>
                            </w:r>
                            <w:r w:rsidR="002F38EC" w:rsidRPr="00F772B6">
                              <w:rPr>
                                <w:rFonts w:ascii="Calibri" w:hAnsi="Calibri" w:cs="Calibri"/>
                                <w:i/>
                                <w:iCs/>
                                <w:sz w:val="18"/>
                              </w:rPr>
                              <w:t>Q</w:t>
                            </w:r>
                            <w:r w:rsidR="002F38EC" w:rsidRPr="00F772B6">
                              <w:rPr>
                                <w:rFonts w:ascii="Calibri" w:hAnsi="Calibri" w:cs="Calibri"/>
                                <w:sz w:val="18"/>
                              </w:rPr>
                              <w:t>) was calculated from the RMC–MD model by distinguishing bridging oxygen (BO) and non-bridging oxygen (NBO).</w:t>
                            </w:r>
                            <w:r w:rsidRPr="00D8695C">
                              <w:rPr>
                                <w:rFonts w:ascii="Calibri" w:hAnsi="Calibri" w:cs="Calibri"/>
                                <w:sz w:val="18"/>
                              </w:rPr>
                              <w:t xml:space="preserve"> Visualisation of (b) P–BO network and (c) fourteen-fold ring extracted from the RMC–MD-generated atomic configuration for P</w:t>
                            </w:r>
                            <w:r w:rsidRPr="00D8695C">
                              <w:rPr>
                                <w:rFonts w:ascii="Calibri" w:hAnsi="Calibri" w:cs="Calibri"/>
                                <w:sz w:val="18"/>
                                <w:vertAlign w:val="subscript"/>
                              </w:rPr>
                              <w:t>2</w:t>
                            </w:r>
                            <w:r w:rsidRPr="00D8695C">
                              <w:rPr>
                                <w:rFonts w:ascii="Calibri" w:hAnsi="Calibri" w:cs="Calibri"/>
                                <w:sz w:val="18"/>
                              </w:rPr>
                              <w:t>O</w:t>
                            </w:r>
                            <w:r w:rsidRPr="00D8695C">
                              <w:rPr>
                                <w:rFonts w:ascii="Calibri" w:hAnsi="Calibri" w:cs="Calibri"/>
                                <w:sz w:val="18"/>
                                <w:vertAlign w:val="subscript"/>
                              </w:rPr>
                              <w:t>5</w:t>
                            </w:r>
                            <w:r w:rsidRPr="00D8695C">
                              <w:rPr>
                                <w:rFonts w:ascii="Calibri" w:hAnsi="Calibri" w:cs="Calibri"/>
                                <w:sz w:val="18"/>
                              </w:rPr>
                              <w:t xml:space="preserve"> glass. The thickness of the cell is approximately 10 </w:t>
                            </w:r>
                            <w:r w:rsidRPr="001F05C4">
                              <w:rPr>
                                <w:rFonts w:ascii="Cambria Math" w:hAnsi="Cambria Math" w:cs="Cambria Math"/>
                                <w:sz w:val="18"/>
                              </w:rPr>
                              <w:t>Å</w:t>
                            </w:r>
                            <w:r w:rsidRPr="00D8695C">
                              <w:rPr>
                                <w:rFonts w:ascii="Calibri" w:hAnsi="Calibri" w:cs="Calibri"/>
                                <w:sz w:val="18"/>
                              </w:rPr>
                              <w:t xml:space="preserve"> and only the atoms belonging to the network are shown in panel (b). In the visualisations, yellow, red, and </w:t>
                            </w:r>
                            <w:r w:rsidRPr="00D8695C">
                              <w:rPr>
                                <w:rFonts w:ascii="Calibri" w:hAnsi="Calibri" w:cs="Calibri"/>
                                <w:sz w:val="18"/>
                                <w:lang w:val="en-US"/>
                              </w:rPr>
                              <w:t xml:space="preserve">light-blue spheres represent P, </w:t>
                            </w:r>
                            <w:r w:rsidR="002F38EC" w:rsidRPr="00F772B6">
                              <w:rPr>
                                <w:rFonts w:ascii="Calibri" w:hAnsi="Calibri" w:cs="Calibri"/>
                                <w:sz w:val="18"/>
                                <w:lang w:val="en-US"/>
                              </w:rPr>
                              <w:t>BO</w:t>
                            </w:r>
                            <w:r w:rsidRPr="00F772B6">
                              <w:rPr>
                                <w:rFonts w:ascii="Calibri" w:hAnsi="Calibri" w:cs="Calibri"/>
                                <w:sz w:val="18"/>
                                <w:lang w:val="en-US"/>
                              </w:rPr>
                              <w:t xml:space="preserve">, and </w:t>
                            </w:r>
                            <w:r w:rsidR="002F38EC" w:rsidRPr="00F772B6">
                              <w:rPr>
                                <w:rFonts w:ascii="Calibri" w:hAnsi="Calibri" w:cs="Calibri"/>
                                <w:sz w:val="18"/>
                                <w:lang w:val="en-US"/>
                              </w:rPr>
                              <w:t>NBO</w:t>
                            </w:r>
                            <w:r w:rsidRPr="00F772B6">
                              <w:rPr>
                                <w:rFonts w:ascii="Calibri" w:hAnsi="Calibri" w:cs="Calibri"/>
                                <w:sz w:val="18"/>
                                <w:lang w:val="en-US"/>
                              </w:rPr>
                              <w:t>,</w:t>
                            </w:r>
                            <w:r w:rsidRPr="00D8695C">
                              <w:rPr>
                                <w:rFonts w:ascii="Calibri" w:hAnsi="Calibri" w:cs="Calibri"/>
                                <w:sz w:val="18"/>
                                <w:lang w:val="en-US"/>
                              </w:rPr>
                              <w:t xml:space="preserve"> respectively. Red and blue arrows correspond to the periodicity of approximately 4.8 </w:t>
                            </w:r>
                            <w:r w:rsidRPr="001F05C4">
                              <w:rPr>
                                <w:rFonts w:ascii="Cambria Math" w:hAnsi="Cambria Math" w:cs="Cambria Math"/>
                                <w:sz w:val="18"/>
                              </w:rPr>
                              <w:t>Å</w:t>
                            </w:r>
                            <w:r w:rsidRPr="00D8695C">
                              <w:rPr>
                                <w:rFonts w:ascii="Calibri" w:hAnsi="Calibri" w:cs="Calibri"/>
                                <w:sz w:val="18"/>
                                <w:lang w:val="en-US"/>
                              </w:rPr>
                              <w:t xml:space="preserve"> and 3.0 </w:t>
                            </w:r>
                            <w:r w:rsidRPr="00D8695C">
                              <w:rPr>
                                <w:rFonts w:ascii="Cambria Math" w:hAnsi="Cambria Math" w:cs="Cambria Math"/>
                                <w:sz w:val="18"/>
                              </w:rPr>
                              <w:t>Å</w:t>
                            </w:r>
                            <w:r w:rsidRPr="00D8695C">
                              <w:rPr>
                                <w:rFonts w:ascii="Calibri" w:hAnsi="Calibri" w:cs="Calibri"/>
                                <w:sz w:val="18"/>
                              </w:rPr>
                              <w:t>, respectively.</w:t>
                            </w:r>
                          </w:p>
                        </w:txbxContent>
                      </wps:txbx>
                      <wps:bodyPr rot="0" vert="horz" wrap="square" lIns="0" tIns="36000" rIns="0" bIns="36000" anchor="b" anchorCtr="0">
                        <a:noAutofit/>
                      </wps:bodyPr>
                    </wps:wsp>
                  </a:graphicData>
                </a:graphic>
                <wp14:sizeRelV relativeFrom="margin">
                  <wp14:pctHeight>0</wp14:pctHeight>
                </wp14:sizeRelV>
              </wp:anchor>
            </w:drawing>
          </mc:Choice>
          <mc:Fallback>
            <w:pict>
              <v:shape w14:anchorId="6C62EAB1" id="_x0000_s1033" type="#_x0000_t202" style="position:absolute;left:0;text-align:left;margin-left:-.6pt;margin-top:0;width:510.6pt;height:336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" stroked="f">
                <o:lock v:ext="edit" aspectratio="t"/>
                <v:textbox inset="0,1mm,0,1mm">
                  <w:txbxContent>
                    <w:p w14:paraId="71CEBD87" w14:textId="5BCC4E63" w:rsidR="00D8695C" w:rsidRDefault="001F05C4" w:rsidP="00D8695C">
                      <w:pPr>
                        <w:pStyle w:val="RSCI05CaptiontoFigureSchemeChartwithbottombar"/>
                        <w:spacing w:after="0" w:line="240" w:lineRule="auto"/>
                        <w:jc w:val="center"/>
                        <w:rPr>
                          <w:spacing w:val="-2"/>
                          <w:sz w:val="18"/>
                          <w:lang w:val="en-US"/>
                        </w:rPr>
                      </w:pPr>
                      <w:r w:rsidRPr="001F05C4">
                        <w:rPr>
                          <w:spacing w:val="-2"/>
                          <w:sz w:val="18"/>
                          <w:lang w:val="en-US"/>
                        </w:rPr>
                        <w:drawing>
                          <wp:inline distT="0" distB="0" distL="0" distR="0" wp14:anchorId="47E805F4" wp14:editId="65A59A16">
                            <wp:extent cx="5040360" cy="3276000"/>
                            <wp:effectExtent l="0" t="0" r="1905" b="635"/>
                            <wp:docPr id="17441374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51152" name=""/>
                                    <pic:cNvPicPr/>
                                  </pic:nvPicPr>
                                  <pic:blipFill>
                                    <a:blip r:embed="rId25"/>
                                    <a:stretch>
                                      <a:fillRect/>
                                    </a:stretch>
                                  </pic:blipFill>
                                  <pic:spPr>
                                    <a:xfrm>
                                      <a:off x="0" y="0"/>
                                      <a:ext cx="5040360" cy="3276000"/>
                                    </a:xfrm>
                                    <a:prstGeom prst="rect">
                                      <a:avLst/>
                                    </a:prstGeom>
                                  </pic:spPr>
                                </pic:pic>
                              </a:graphicData>
                            </a:graphic>
                          </wp:inline>
                        </w:drawing>
                      </w:r>
                    </w:p>
                    <w:p w14:paraId="2349E1ED" w14:textId="1984E6A0" w:rsidR="00D8695C" w:rsidRPr="00D8695C" w:rsidRDefault="00D8695C" w:rsidP="00D8695C">
                      <w:pPr>
                        <w:pStyle w:val="RSCI05CaptiontoFigureSchemeChartwithbottombar"/>
                        <w:spacing w:afterLines="1000" w:after="2400" w:line="240" w:lineRule="auto"/>
                        <w:rPr>
                          <w:rFonts w:ascii="Calibri" w:hAnsi="Calibri" w:cs="Calibri"/>
                          <w:spacing w:val="-2"/>
                          <w:sz w:val="18"/>
                          <w:lang w:val="en-US"/>
                        </w:rPr>
                      </w:pPr>
                      <w:r w:rsidRPr="00261C09">
                        <w:rPr>
                          <w:sz w:val="18"/>
                          <w:lang w:val="en-US"/>
                        </w:rPr>
                        <w:t xml:space="preserve">Fig. </w:t>
                      </w:r>
                      <w:r>
                        <w:rPr>
                          <w:sz w:val="18"/>
                          <w:lang w:val="en-US"/>
                        </w:rPr>
                        <w:t>6</w:t>
                      </w:r>
                      <w:r>
                        <w:rPr>
                          <w:rFonts w:ascii="Calibri" w:hAnsi="Calibri" w:cs="Calibri"/>
                          <w:sz w:val="18"/>
                        </w:rPr>
                        <w:t xml:space="preserve"> </w:t>
                      </w:r>
                      <w:r w:rsidRPr="00D8695C">
                        <w:rPr>
                          <w:rFonts w:ascii="Calibri" w:hAnsi="Calibri" w:cs="Calibri"/>
                          <w:sz w:val="18"/>
                        </w:rPr>
                        <w:t xml:space="preserve">(a) Neutron and X-ray total structure factors, </w:t>
                      </w:r>
                      <w:r w:rsidRPr="00D8695C">
                        <w:rPr>
                          <w:rFonts w:ascii="Calibri" w:hAnsi="Calibri" w:cs="Calibri"/>
                          <w:i/>
                          <w:iCs/>
                          <w:sz w:val="18"/>
                        </w:rPr>
                        <w:t>S</w:t>
                      </w:r>
                      <w:r w:rsidRPr="00D8695C">
                        <w:rPr>
                          <w:rFonts w:ascii="Calibri" w:hAnsi="Calibri" w:cs="Calibri"/>
                          <w:sz w:val="18"/>
                        </w:rPr>
                        <w:t>(</w:t>
                      </w:r>
                      <w:r w:rsidRPr="00D8695C">
                        <w:rPr>
                          <w:rFonts w:ascii="Calibri" w:hAnsi="Calibri" w:cs="Calibri"/>
                          <w:i/>
                          <w:iCs/>
                          <w:sz w:val="18"/>
                        </w:rPr>
                        <w:t>Q</w:t>
                      </w:r>
                      <w:r w:rsidRPr="00D8695C">
                        <w:rPr>
                          <w:rFonts w:ascii="Calibri" w:hAnsi="Calibri" w:cs="Calibri"/>
                          <w:sz w:val="18"/>
                        </w:rPr>
                        <w:t xml:space="preserve">), together with Faber–Ziman partial structure factors, </w:t>
                      </w:r>
                      <w:r w:rsidRPr="00D8695C">
                        <w:rPr>
                          <w:rFonts w:ascii="Calibri" w:hAnsi="Calibri" w:cs="Calibri"/>
                          <w:i/>
                          <w:iCs/>
                          <w:sz w:val="18"/>
                        </w:rPr>
                        <w:t>S</w:t>
                      </w:r>
                      <w:r w:rsidRPr="00D8695C">
                        <w:rPr>
                          <w:rFonts w:ascii="Calibri" w:hAnsi="Calibri" w:cs="Calibri"/>
                          <w:i/>
                          <w:iCs/>
                          <w:sz w:val="18"/>
                          <w:vertAlign w:val="subscript"/>
                        </w:rPr>
                        <w:t>αβ</w:t>
                      </w:r>
                      <w:r w:rsidRPr="00D8695C">
                        <w:rPr>
                          <w:rFonts w:ascii="Calibri" w:hAnsi="Calibri" w:cs="Calibri"/>
                          <w:sz w:val="18"/>
                        </w:rPr>
                        <w:t>(</w:t>
                      </w:r>
                      <w:r w:rsidRPr="00D8695C">
                        <w:rPr>
                          <w:rFonts w:ascii="Calibri" w:hAnsi="Calibri" w:cs="Calibri"/>
                          <w:i/>
                          <w:iCs/>
                          <w:sz w:val="18"/>
                        </w:rPr>
                        <w:t>Q</w:t>
                      </w:r>
                      <w:r w:rsidRPr="00D8695C">
                        <w:rPr>
                          <w:rFonts w:ascii="Calibri" w:hAnsi="Calibri" w:cs="Calibri"/>
                          <w:sz w:val="18"/>
                        </w:rPr>
                        <w:t>).</w:t>
                      </w:r>
                      <w:r w:rsidR="002F38EC">
                        <w:rPr>
                          <w:rFonts w:ascii="Calibri" w:hAnsi="Calibri" w:cs="Calibri"/>
                          <w:sz w:val="18"/>
                        </w:rPr>
                        <w:t xml:space="preserve"> </w:t>
                      </w:r>
                      <w:r w:rsidR="002F38EC" w:rsidRPr="00F772B6">
                        <w:rPr>
                          <w:rFonts w:ascii="Calibri" w:hAnsi="Calibri" w:cs="Calibri"/>
                          <w:sz w:val="18"/>
                        </w:rPr>
                        <w:t xml:space="preserve">The </w:t>
                      </w:r>
                      <w:r w:rsidR="002F38EC" w:rsidRPr="00F772B6">
                        <w:rPr>
                          <w:rFonts w:ascii="Calibri" w:hAnsi="Calibri" w:cs="Calibri"/>
                          <w:i/>
                          <w:iCs/>
                          <w:sz w:val="18"/>
                        </w:rPr>
                        <w:t>S</w:t>
                      </w:r>
                      <w:r w:rsidR="002F38EC" w:rsidRPr="00F772B6">
                        <w:rPr>
                          <w:rFonts w:ascii="Calibri" w:hAnsi="Calibri" w:cs="Calibri"/>
                          <w:i/>
                          <w:iCs/>
                          <w:sz w:val="18"/>
                          <w:vertAlign w:val="subscript"/>
                        </w:rPr>
                        <w:t>αβ</w:t>
                      </w:r>
                      <w:r w:rsidR="002F38EC" w:rsidRPr="00F772B6">
                        <w:rPr>
                          <w:rFonts w:ascii="Calibri" w:hAnsi="Calibri" w:cs="Calibri"/>
                          <w:sz w:val="18"/>
                        </w:rPr>
                        <w:t>(</w:t>
                      </w:r>
                      <w:r w:rsidR="002F38EC" w:rsidRPr="00F772B6">
                        <w:rPr>
                          <w:rFonts w:ascii="Calibri" w:hAnsi="Calibri" w:cs="Calibri"/>
                          <w:i/>
                          <w:iCs/>
                          <w:sz w:val="18"/>
                        </w:rPr>
                        <w:t>Q</w:t>
                      </w:r>
                      <w:r w:rsidR="002F38EC" w:rsidRPr="00F772B6">
                        <w:rPr>
                          <w:rFonts w:ascii="Calibri" w:hAnsi="Calibri" w:cs="Calibri"/>
                          <w:sz w:val="18"/>
                        </w:rPr>
                        <w:t>) was calculated from the RMC–MD model by distinguishing bridging oxygen (BO) and non-bridging oxygen (NBO).</w:t>
                      </w:r>
                      <w:r w:rsidRPr="00D8695C">
                        <w:rPr>
                          <w:rFonts w:ascii="Calibri" w:hAnsi="Calibri" w:cs="Calibri"/>
                          <w:sz w:val="18"/>
                        </w:rPr>
                        <w:t xml:space="preserve"> Visualisation of (b) P–BO network and (c) fourteen-fold ring extracted from the RMC–MD-generated atomic configuration for P</w:t>
                      </w:r>
                      <w:r w:rsidRPr="00D8695C">
                        <w:rPr>
                          <w:rFonts w:ascii="Calibri" w:hAnsi="Calibri" w:cs="Calibri"/>
                          <w:sz w:val="18"/>
                          <w:vertAlign w:val="subscript"/>
                        </w:rPr>
                        <w:t>2</w:t>
                      </w:r>
                      <w:r w:rsidRPr="00D8695C">
                        <w:rPr>
                          <w:rFonts w:ascii="Calibri" w:hAnsi="Calibri" w:cs="Calibri"/>
                          <w:sz w:val="18"/>
                        </w:rPr>
                        <w:t>O</w:t>
                      </w:r>
                      <w:r w:rsidRPr="00D8695C">
                        <w:rPr>
                          <w:rFonts w:ascii="Calibri" w:hAnsi="Calibri" w:cs="Calibri"/>
                          <w:sz w:val="18"/>
                          <w:vertAlign w:val="subscript"/>
                        </w:rPr>
                        <w:t>5</w:t>
                      </w:r>
                      <w:r w:rsidRPr="00D8695C">
                        <w:rPr>
                          <w:rFonts w:ascii="Calibri" w:hAnsi="Calibri" w:cs="Calibri"/>
                          <w:sz w:val="18"/>
                        </w:rPr>
                        <w:t xml:space="preserve"> glass. The thickness of the cell is approximately 10 </w:t>
                      </w:r>
                      <w:r w:rsidRPr="001F05C4">
                        <w:rPr>
                          <w:rFonts w:ascii="Cambria Math" w:hAnsi="Cambria Math" w:cs="Cambria Math"/>
                          <w:sz w:val="18"/>
                        </w:rPr>
                        <w:t>Å</w:t>
                      </w:r>
                      <w:r w:rsidRPr="00D8695C">
                        <w:rPr>
                          <w:rFonts w:ascii="Calibri" w:hAnsi="Calibri" w:cs="Calibri"/>
                          <w:sz w:val="18"/>
                        </w:rPr>
                        <w:t xml:space="preserve"> and only the atoms belonging to the network are shown in panel (b). In the visualisations, yellow, red, and </w:t>
                      </w:r>
                      <w:r w:rsidRPr="00D8695C">
                        <w:rPr>
                          <w:rFonts w:ascii="Calibri" w:hAnsi="Calibri" w:cs="Calibri"/>
                          <w:sz w:val="18"/>
                          <w:lang w:val="en-US"/>
                        </w:rPr>
                        <w:t xml:space="preserve">light-blue spheres represent P, </w:t>
                      </w:r>
                      <w:r w:rsidR="002F38EC" w:rsidRPr="00F772B6">
                        <w:rPr>
                          <w:rFonts w:ascii="Calibri" w:hAnsi="Calibri" w:cs="Calibri"/>
                          <w:sz w:val="18"/>
                          <w:lang w:val="en-US"/>
                        </w:rPr>
                        <w:t>BO</w:t>
                      </w:r>
                      <w:r w:rsidRPr="00F772B6">
                        <w:rPr>
                          <w:rFonts w:ascii="Calibri" w:hAnsi="Calibri" w:cs="Calibri"/>
                          <w:sz w:val="18"/>
                          <w:lang w:val="en-US"/>
                        </w:rPr>
                        <w:t xml:space="preserve">, and </w:t>
                      </w:r>
                      <w:r w:rsidR="002F38EC" w:rsidRPr="00F772B6">
                        <w:rPr>
                          <w:rFonts w:ascii="Calibri" w:hAnsi="Calibri" w:cs="Calibri"/>
                          <w:sz w:val="18"/>
                          <w:lang w:val="en-US"/>
                        </w:rPr>
                        <w:t>NBO</w:t>
                      </w:r>
                      <w:r w:rsidRPr="00F772B6">
                        <w:rPr>
                          <w:rFonts w:ascii="Calibri" w:hAnsi="Calibri" w:cs="Calibri"/>
                          <w:sz w:val="18"/>
                          <w:lang w:val="en-US"/>
                        </w:rPr>
                        <w:t>,</w:t>
                      </w:r>
                      <w:r w:rsidRPr="00D8695C">
                        <w:rPr>
                          <w:rFonts w:ascii="Calibri" w:hAnsi="Calibri" w:cs="Calibri"/>
                          <w:sz w:val="18"/>
                          <w:lang w:val="en-US"/>
                        </w:rPr>
                        <w:t xml:space="preserve"> respectively. Red and blue arrows correspond to the periodicity of approximately 4.8 </w:t>
                      </w:r>
                      <w:r w:rsidRPr="001F05C4">
                        <w:rPr>
                          <w:rFonts w:ascii="Cambria Math" w:hAnsi="Cambria Math" w:cs="Cambria Math"/>
                          <w:sz w:val="18"/>
                        </w:rPr>
                        <w:t>Å</w:t>
                      </w:r>
                      <w:r w:rsidRPr="00D8695C">
                        <w:rPr>
                          <w:rFonts w:ascii="Calibri" w:hAnsi="Calibri" w:cs="Calibri"/>
                          <w:sz w:val="18"/>
                          <w:lang w:val="en-US"/>
                        </w:rPr>
                        <w:t xml:space="preserve"> and 3.0 </w:t>
                      </w:r>
                      <w:r w:rsidRPr="00D8695C">
                        <w:rPr>
                          <w:rFonts w:ascii="Cambria Math" w:hAnsi="Cambria Math" w:cs="Cambria Math"/>
                          <w:sz w:val="18"/>
                        </w:rPr>
                        <w:t>Å</w:t>
                      </w:r>
                      <w:r w:rsidRPr="00D8695C">
                        <w:rPr>
                          <w:rFonts w:ascii="Calibri" w:hAnsi="Calibri" w:cs="Calibri"/>
                          <w:sz w:val="18"/>
                        </w:rPr>
                        <w:t>, respectively.</w:t>
                      </w:r>
                    </w:p>
                  </w:txbxContent>
                </v:textbox>
                <w10:wrap type="square"/>
              </v:shape>
            </w:pict>
          </mc:Fallback>
        </mc:AlternateContent>
      </w:r>
      <w:r w:rsidRPr="002C1A46">
        <w:t xml:space="preserve">correspond to the cavities between the </w:t>
      </w:r>
      <w:r w:rsidR="001452D6" w:rsidRPr="002C1A46">
        <w:t>P–BO</w:t>
      </w:r>
      <w:r w:rsidRPr="002C1A46">
        <w:t xml:space="preserve"> networks. This intermediate-range order is formed through inter-ring correlations and corresponds to the structure responsible for the FSDP in SiO</w:t>
      </w:r>
      <w:r w:rsidRPr="002C1A46">
        <w:rPr>
          <w:vertAlign w:val="subscript"/>
        </w:rPr>
        <w:t>2</w:t>
      </w:r>
      <w:r w:rsidRPr="002C1A46">
        <w:t xml:space="preserve"> glass.</w:t>
      </w:r>
      <w:r w:rsidR="00A440DC" w:rsidRPr="002C1A46">
        <w:rPr>
          <w:vertAlign w:val="superscript"/>
        </w:rPr>
        <w:t>41</w:t>
      </w:r>
      <w:r w:rsidRPr="002C1A46">
        <w:t xml:space="preserve"> In contrast, the intermediate-range order corresponding to FSDP2 can be identified as an intra-ring correlation </w:t>
      </w:r>
      <w:r w:rsidR="00DA41C6" w:rsidRPr="002C1A46">
        <w:t>associated with the atomic arrangement of P and NBO atoms within these larger rings</w:t>
      </w:r>
      <w:r w:rsidRPr="002C1A46">
        <w:t xml:space="preserve">. Figure 6(c) shows an enlarged view of the fourteen-fold ring highlighted in blue in Fig. 6(b). Periodic arrangements arising from P–NBO and NBO–NBO correlations give rise to an intermediate-range order with a shorter periodicity and coherence length (highlighted in blue in Fig. 6(c)), even though </w:t>
      </w:r>
      <w:r w:rsidR="006D5B10" w:rsidRPr="002C1A46">
        <w:t xml:space="preserve">P </w:t>
      </w:r>
      <w:r w:rsidRPr="002C1A46">
        <w:t xml:space="preserve">and </w:t>
      </w:r>
      <w:r w:rsidR="006D5B10" w:rsidRPr="002C1A46">
        <w:t>NBO</w:t>
      </w:r>
      <w:r w:rsidRPr="002C1A46">
        <w:t xml:space="preserve"> atoms alone do not form a continuous network. These results provide a unified structural interpretation linking the doublet FSDP to two distinct topological ordering that exist on the intermediate-range scale in the Q</w:t>
      </w:r>
      <w:r w:rsidRPr="002C1A46">
        <w:rPr>
          <w:vertAlign w:val="superscript"/>
        </w:rPr>
        <w:t>3</w:t>
      </w:r>
      <w:r w:rsidRPr="002C1A46">
        <w:t xml:space="preserve"> network of P</w:t>
      </w:r>
      <w:r w:rsidRPr="002C1A46">
        <w:rPr>
          <w:vertAlign w:val="subscript"/>
        </w:rPr>
        <w:t>2</w:t>
      </w:r>
      <w:r w:rsidRPr="002C1A46">
        <w:t>O</w:t>
      </w:r>
      <w:r w:rsidRPr="002C1A46">
        <w:rPr>
          <w:vertAlign w:val="subscript"/>
        </w:rPr>
        <w:t>5</w:t>
      </w:r>
      <w:r w:rsidRPr="002C1A46">
        <w:t xml:space="preserve"> glass.</w:t>
      </w:r>
    </w:p>
    <w:p w14:paraId="62DFDE88" w14:textId="0211E997" w:rsidR="00D8695C" w:rsidRPr="002C1A46" w:rsidRDefault="00D8695C" w:rsidP="00D8695C">
      <w:pPr>
        <w:pStyle w:val="08ArticleText"/>
        <w:spacing w:line="276" w:lineRule="auto"/>
        <w:ind w:firstLineChars="150" w:firstLine="291"/>
      </w:pPr>
      <w:r w:rsidRPr="002C1A46">
        <w:t>Our findings can be further discussed in relation to the densified low-hygroscopic form of P</w:t>
      </w:r>
      <w:r w:rsidRPr="002C1A46">
        <w:rPr>
          <w:vertAlign w:val="subscript"/>
        </w:rPr>
        <w:t>2</w:t>
      </w:r>
      <w:r w:rsidRPr="002C1A46">
        <w:t>O</w:t>
      </w:r>
      <w:r w:rsidRPr="002C1A46">
        <w:rPr>
          <w:vertAlign w:val="subscript"/>
        </w:rPr>
        <w:t>5</w:t>
      </w:r>
      <w:r w:rsidRPr="002C1A46">
        <w:t xml:space="preserve"> glass reported by </w:t>
      </w:r>
      <w:proofErr w:type="spellStart"/>
      <w:r w:rsidRPr="002C1A46">
        <w:t>Brazhkin</w:t>
      </w:r>
      <w:proofErr w:type="spellEnd"/>
      <w:r w:rsidRPr="002C1A46">
        <w:t xml:space="preserve"> </w:t>
      </w:r>
      <w:r w:rsidRPr="002C1A46">
        <w:rPr>
          <w:i/>
          <w:iCs/>
        </w:rPr>
        <w:t>et al.</w:t>
      </w:r>
      <w:r w:rsidR="00B5570E" w:rsidRPr="002C1A46">
        <w:rPr>
          <w:vertAlign w:val="superscript"/>
        </w:rPr>
        <w:t>48</w:t>
      </w:r>
      <w:r w:rsidR="00B5570E" w:rsidRPr="002C1A46">
        <w:t xml:space="preserve"> </w:t>
      </w:r>
      <w:r w:rsidRPr="002C1A46">
        <w:t>In their study, the doublet FSDP observed under ambient conditions merges into a single peak upon high-pressure quenching, indicating a fundamental change in the intermediate-range structure. From the perspective of the present results, the doublet FSDP originates from two distinct intermediate-range orders associated with BO- and NBO-centred correlations, which exist on different length scales. The collapse of the doublet into a single FSDP upon densification therefore suggests that these two characteristic length scales converge into a more uniform intermediate-range order, analogous to that of SiO</w:t>
      </w:r>
      <w:r w:rsidRPr="002C1A46">
        <w:rPr>
          <w:vertAlign w:val="subscript"/>
        </w:rPr>
        <w:t>2</w:t>
      </w:r>
      <w:r w:rsidRPr="002C1A46">
        <w:t xml:space="preserve"> glass. In this context, the coexistence of two distinct intermediate-range orders in P</w:t>
      </w:r>
      <w:r w:rsidRPr="002C1A46">
        <w:rPr>
          <w:vertAlign w:val="subscript"/>
        </w:rPr>
        <w:t>2</w:t>
      </w:r>
      <w:r w:rsidRPr="002C1A46">
        <w:t>O</w:t>
      </w:r>
      <w:r w:rsidRPr="002C1A46">
        <w:rPr>
          <w:vertAlign w:val="subscript"/>
        </w:rPr>
        <w:t>5</w:t>
      </w:r>
      <w:r w:rsidRPr="002C1A46">
        <w:t xml:space="preserve"> glass may be closely related to its hygroscopic nature, as the presence of large and irregular rings and cavities can facilitate water incorporation. Conversely, the emergence of a single intermediate-range order upon densification may underlie the enhanced water resistance of the glass. Although further experimental verification is required, the present results suggest that the nature of intermediate-range ordering, as reflected in the FSDP, provides a key structural descriptor linking the topology of the glass network to its macroscopic properties.</w:t>
      </w:r>
    </w:p>
    <w:p w14:paraId="7F948B1F" w14:textId="3F1C6F06" w:rsidR="00E61949" w:rsidRPr="002C1A46" w:rsidRDefault="00180ABE" w:rsidP="005D7752">
      <w:pPr>
        <w:pStyle w:val="RSCB04AHeadingSection"/>
        <w:numPr>
          <w:ilvl w:val="0"/>
          <w:numId w:val="13"/>
        </w:numPr>
      </w:pPr>
      <w:r w:rsidRPr="002C1A46">
        <w:t>Conclusions</w:t>
      </w:r>
    </w:p>
    <w:p w14:paraId="00AA11E3" w14:textId="0FEFB63D" w:rsidR="00FA2DA2" w:rsidRPr="002C1A46" w:rsidRDefault="00D8695C" w:rsidP="00E61949">
      <w:pPr>
        <w:pStyle w:val="RSCB02ArticleText"/>
        <w:rPr>
          <w:rFonts w:ascii="Times New Roman" w:hAnsi="Times New Roman"/>
        </w:rPr>
      </w:pPr>
      <w:r w:rsidRPr="002C1A46">
        <w:rPr>
          <w:rFonts w:ascii="Times New Roman" w:eastAsia="Yu Gothic UI" w:hAnsi="Times New Roman"/>
          <w:lang w:eastAsia="ja-JP"/>
        </w:rPr>
        <w:t>In this study, we have revealed the structural origins of the diffraction peaks in P</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O</w:t>
      </w:r>
      <w:r w:rsidRPr="002C1A46">
        <w:rPr>
          <w:rFonts w:ascii="Times New Roman" w:eastAsia="Yu Gothic UI" w:hAnsi="Times New Roman"/>
          <w:vertAlign w:val="subscript"/>
          <w:lang w:eastAsia="ja-JP"/>
        </w:rPr>
        <w:t>5</w:t>
      </w:r>
      <w:r w:rsidRPr="002C1A46">
        <w:rPr>
          <w:rFonts w:ascii="Times New Roman" w:eastAsia="Yu Gothic UI" w:hAnsi="Times New Roman"/>
          <w:lang w:eastAsia="ja-JP"/>
        </w:rPr>
        <w:t xml:space="preserve"> glass through combined neutron and X-ray diffraction data and reverse Monte Carlo–classical molecular dynamics modelling. The analysis of Faber–Ziman and Bhatia–Thornton partial structure factors demonstrates that the two FSDPs arise from distinct atomic correlations, indicating the coexistence of two different intermediate-range orders in the Q</w:t>
      </w:r>
      <w:r w:rsidRPr="002C1A46">
        <w:rPr>
          <w:rFonts w:ascii="Times New Roman" w:eastAsia="Yu Gothic UI" w:hAnsi="Times New Roman"/>
          <w:vertAlign w:val="superscript"/>
          <w:lang w:eastAsia="ja-JP"/>
        </w:rPr>
        <w:t>3</w:t>
      </w:r>
      <w:r w:rsidRPr="002C1A46">
        <w:rPr>
          <w:rFonts w:ascii="Times New Roman" w:eastAsia="Yu Gothic UI" w:hAnsi="Times New Roman"/>
          <w:lang w:eastAsia="ja-JP"/>
        </w:rPr>
        <w:t xml:space="preserve"> network of P</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O</w:t>
      </w:r>
      <w:r w:rsidRPr="002C1A46">
        <w:rPr>
          <w:rFonts w:ascii="Times New Roman" w:eastAsia="Yu Gothic UI" w:hAnsi="Times New Roman"/>
          <w:vertAlign w:val="subscript"/>
          <w:lang w:eastAsia="ja-JP"/>
        </w:rPr>
        <w:t>5</w:t>
      </w:r>
      <w:r w:rsidRPr="002C1A46">
        <w:rPr>
          <w:rFonts w:ascii="Times New Roman" w:eastAsia="Yu Gothic UI" w:hAnsi="Times New Roman"/>
          <w:lang w:eastAsia="ja-JP"/>
        </w:rPr>
        <w:t xml:space="preserve"> glass. Ring size distribution and cavity analyses show that, despite the presence of large rings, P</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O</w:t>
      </w:r>
      <w:r w:rsidRPr="002C1A46">
        <w:rPr>
          <w:rFonts w:ascii="Times New Roman" w:eastAsia="Yu Gothic UI" w:hAnsi="Times New Roman"/>
          <w:vertAlign w:val="subscript"/>
          <w:lang w:eastAsia="ja-JP"/>
        </w:rPr>
        <w:t>5</w:t>
      </w:r>
      <w:r w:rsidRPr="002C1A46">
        <w:rPr>
          <w:rFonts w:ascii="Times New Roman" w:eastAsia="Yu Gothic UI" w:hAnsi="Times New Roman"/>
          <w:lang w:eastAsia="ja-JP"/>
        </w:rPr>
        <w:t xml:space="preserve"> glass exhibits a reduced cavity volume and highly distorted ring geometries, indicating a more complex topological structure than that of SiO</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 xml:space="preserve"> glass. The characteristic length scales derived from the FSDPs further reveal that the FSDP at lower </w:t>
      </w:r>
      <w:r w:rsidRPr="002C1A46">
        <w:rPr>
          <w:rFonts w:ascii="Times New Roman" w:eastAsia="Yu Gothic UI" w:hAnsi="Times New Roman"/>
          <w:i/>
          <w:iCs/>
          <w:lang w:eastAsia="ja-JP"/>
        </w:rPr>
        <w:t>Q</w:t>
      </w:r>
      <w:r w:rsidRPr="002C1A46">
        <w:rPr>
          <w:rFonts w:ascii="Times New Roman" w:eastAsia="Yu Gothic UI" w:hAnsi="Times New Roman"/>
          <w:lang w:eastAsia="ja-JP"/>
        </w:rPr>
        <w:t xml:space="preserve"> (FSDP1) corresponds to a longer-range periodicity associated with inter-ring correlations and cavity-spanning network structures, similar to the FSDP in SiO</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 xml:space="preserve"> glass. In contrast, the FSDP at higher </w:t>
      </w:r>
      <w:r w:rsidRPr="002C1A46">
        <w:rPr>
          <w:rFonts w:ascii="Times New Roman" w:eastAsia="Yu Gothic UI" w:hAnsi="Times New Roman"/>
          <w:i/>
          <w:iCs/>
          <w:lang w:eastAsia="ja-JP"/>
        </w:rPr>
        <w:t>Q</w:t>
      </w:r>
      <w:r w:rsidRPr="002C1A46">
        <w:rPr>
          <w:rFonts w:ascii="Times New Roman" w:eastAsia="Yu Gothic UI" w:hAnsi="Times New Roman"/>
          <w:lang w:eastAsia="ja-JP"/>
        </w:rPr>
        <w:t xml:space="preserve"> (FSDP2) reflects a shorter-range ordering arising from intra-ring correlations </w:t>
      </w:r>
      <w:r w:rsidRPr="002C1A46">
        <w:rPr>
          <w:rFonts w:ascii="Times New Roman" w:eastAsia="Yu Gothic UI" w:hAnsi="Times New Roman"/>
          <w:lang w:eastAsia="ja-JP"/>
        </w:rPr>
        <w:lastRenderedPageBreak/>
        <w:t>involving non-bridging oxygens. This study provides a unified structural interpretation of the doublet FSDP in P</w:t>
      </w:r>
      <w:r w:rsidRPr="002C1A46">
        <w:rPr>
          <w:rFonts w:ascii="Times New Roman" w:eastAsia="Yu Gothic UI" w:hAnsi="Times New Roman"/>
          <w:vertAlign w:val="subscript"/>
          <w:lang w:eastAsia="ja-JP"/>
        </w:rPr>
        <w:t>2</w:t>
      </w:r>
      <w:r w:rsidRPr="002C1A46">
        <w:rPr>
          <w:rFonts w:ascii="Times New Roman" w:eastAsia="Yu Gothic UI" w:hAnsi="Times New Roman"/>
          <w:lang w:eastAsia="ja-JP"/>
        </w:rPr>
        <w:t>O</w:t>
      </w:r>
      <w:r w:rsidRPr="002C1A46">
        <w:rPr>
          <w:rFonts w:ascii="Times New Roman" w:eastAsia="Yu Gothic UI" w:hAnsi="Times New Roman"/>
          <w:vertAlign w:val="subscript"/>
          <w:lang w:eastAsia="ja-JP"/>
        </w:rPr>
        <w:t>5</w:t>
      </w:r>
      <w:r w:rsidRPr="002C1A46">
        <w:rPr>
          <w:rFonts w:ascii="Times New Roman" w:eastAsia="Yu Gothic UI" w:hAnsi="Times New Roman"/>
          <w:lang w:eastAsia="ja-JP"/>
        </w:rPr>
        <w:t xml:space="preserve"> glass, linking it to the coexistence of two distinct intermediate-range orders inherent to the Q</w:t>
      </w:r>
      <w:r w:rsidRPr="002C1A46">
        <w:rPr>
          <w:rFonts w:ascii="Times New Roman" w:eastAsia="Yu Gothic UI" w:hAnsi="Times New Roman"/>
          <w:vertAlign w:val="superscript"/>
          <w:lang w:eastAsia="ja-JP"/>
        </w:rPr>
        <w:t>3</w:t>
      </w:r>
      <w:r w:rsidRPr="002C1A46">
        <w:rPr>
          <w:rFonts w:ascii="Times New Roman" w:eastAsia="Yu Gothic UI" w:hAnsi="Times New Roman"/>
          <w:lang w:eastAsia="ja-JP"/>
        </w:rPr>
        <w:t xml:space="preserve"> network topology.</w:t>
      </w:r>
      <w:r w:rsidR="003B20C5" w:rsidRPr="002C1A46">
        <w:rPr>
          <w:rFonts w:ascii="Times New Roman" w:eastAsia="Yu Gothic UI" w:hAnsi="Times New Roman"/>
          <w:lang w:eastAsia="ja-JP"/>
        </w:rPr>
        <w:t xml:space="preserve"> While this study successfully establishes the topological baseline for the pure P</w:t>
      </w:r>
      <w:r w:rsidR="003B20C5" w:rsidRPr="002C1A46">
        <w:rPr>
          <w:rFonts w:ascii="Times New Roman" w:eastAsia="Yu Gothic UI" w:hAnsi="Times New Roman"/>
          <w:vertAlign w:val="subscript"/>
          <w:lang w:eastAsia="ja-JP"/>
        </w:rPr>
        <w:t>2</w:t>
      </w:r>
      <w:r w:rsidR="003B20C5" w:rsidRPr="002C1A46">
        <w:rPr>
          <w:rFonts w:ascii="Times New Roman" w:eastAsia="Yu Gothic UI" w:hAnsi="Times New Roman"/>
          <w:lang w:eastAsia="ja-JP"/>
        </w:rPr>
        <w:t>O</w:t>
      </w:r>
      <w:r w:rsidR="003B20C5" w:rsidRPr="002C1A46">
        <w:rPr>
          <w:rFonts w:ascii="Times New Roman" w:eastAsia="Yu Gothic UI" w:hAnsi="Times New Roman"/>
          <w:vertAlign w:val="subscript"/>
          <w:lang w:eastAsia="ja-JP"/>
        </w:rPr>
        <w:t>5</w:t>
      </w:r>
      <w:r w:rsidR="003B20C5" w:rsidRPr="002C1A46">
        <w:rPr>
          <w:rFonts w:ascii="Times New Roman" w:eastAsia="Yu Gothic UI" w:hAnsi="Times New Roman"/>
          <w:lang w:eastAsia="ja-JP"/>
        </w:rPr>
        <w:t xml:space="preserve"> glass dominated by Q</w:t>
      </w:r>
      <w:r w:rsidR="003B20C5" w:rsidRPr="002C1A46">
        <w:rPr>
          <w:rFonts w:ascii="Times New Roman" w:eastAsia="Yu Gothic UI" w:hAnsi="Times New Roman"/>
          <w:vertAlign w:val="superscript"/>
          <w:lang w:eastAsia="ja-JP"/>
        </w:rPr>
        <w:t>3</w:t>
      </w:r>
      <w:r w:rsidR="003B20C5" w:rsidRPr="002C1A46">
        <w:rPr>
          <w:rFonts w:ascii="Times New Roman" w:eastAsia="Yu Gothic UI" w:hAnsi="Times New Roman"/>
          <w:lang w:eastAsia="ja-JP"/>
        </w:rPr>
        <w:t xml:space="preserve"> units, practical phosphate glasses widely used in optical or biomedical applications typically contain network modifiers. Such modifiers disrupt the network to generate other species, such as Q</w:t>
      </w:r>
      <w:r w:rsidR="003B20C5" w:rsidRPr="002C1A46">
        <w:rPr>
          <w:rFonts w:ascii="Times New Roman" w:eastAsia="Yu Gothic UI" w:hAnsi="Times New Roman"/>
          <w:vertAlign w:val="superscript"/>
          <w:lang w:eastAsia="ja-JP"/>
        </w:rPr>
        <w:t>2</w:t>
      </w:r>
      <w:r w:rsidR="003B20C5" w:rsidRPr="002C1A46">
        <w:rPr>
          <w:rFonts w:ascii="Times New Roman" w:eastAsia="Yu Gothic UI" w:hAnsi="Times New Roman"/>
          <w:lang w:eastAsia="ja-JP"/>
        </w:rPr>
        <w:t xml:space="preserve"> and Q</w:t>
      </w:r>
      <w:r w:rsidR="003B20C5" w:rsidRPr="002C1A46">
        <w:rPr>
          <w:rFonts w:ascii="Times New Roman" w:eastAsia="Yu Gothic UI" w:hAnsi="Times New Roman"/>
          <w:vertAlign w:val="superscript"/>
          <w:lang w:eastAsia="ja-JP"/>
        </w:rPr>
        <w:t>1</w:t>
      </w:r>
      <w:r w:rsidR="003B20C5" w:rsidRPr="002C1A46">
        <w:rPr>
          <w:rFonts w:ascii="Times New Roman" w:eastAsia="Yu Gothic UI" w:hAnsi="Times New Roman"/>
          <w:lang w:eastAsia="ja-JP"/>
        </w:rPr>
        <w:t xml:space="preserve"> units, introducing chemical equilibria and spatial heterogeneities that are not directly captured in the current model. Nevertheless, the precise three-dimensional model developed here provides an indispensable prerequisite for modelling multi-component systems. Future research will envision extending this protocol by incorporating modifiers, allowing a systematic investigation of how the phosphate network topology evolves as it transitions from Q</w:t>
      </w:r>
      <w:r w:rsidR="003B20C5" w:rsidRPr="002C1A46">
        <w:rPr>
          <w:rFonts w:ascii="Times New Roman" w:eastAsia="Yu Gothic UI" w:hAnsi="Times New Roman"/>
          <w:vertAlign w:val="superscript"/>
          <w:lang w:eastAsia="ja-JP"/>
        </w:rPr>
        <w:t>3</w:t>
      </w:r>
      <w:r w:rsidR="003B20C5" w:rsidRPr="002C1A46">
        <w:rPr>
          <w:rFonts w:ascii="Times New Roman" w:eastAsia="Yu Gothic UI" w:hAnsi="Times New Roman"/>
          <w:lang w:eastAsia="ja-JP"/>
        </w:rPr>
        <w:t xml:space="preserve"> toward modifier-rich environments.</w:t>
      </w:r>
    </w:p>
    <w:p w14:paraId="466E01EF" w14:textId="3E6E864A" w:rsidR="001925B0" w:rsidRPr="002C1A46" w:rsidRDefault="001925B0" w:rsidP="001925B0">
      <w:pPr>
        <w:pStyle w:val="RSCB04AHeadingSection"/>
      </w:pPr>
      <w:r w:rsidRPr="002C1A46">
        <w:t xml:space="preserve">Author </w:t>
      </w:r>
      <w:r w:rsidR="00DB4B84" w:rsidRPr="002C1A46">
        <w:t>c</w:t>
      </w:r>
      <w:r w:rsidRPr="002C1A46">
        <w:t>ontributions</w:t>
      </w:r>
    </w:p>
    <w:p w14:paraId="054D045F" w14:textId="7C3A8956" w:rsidR="001925B0" w:rsidRPr="002C1A46" w:rsidRDefault="00A73868" w:rsidP="00092A52">
      <w:pPr>
        <w:spacing w:line="240" w:lineRule="exact"/>
        <w:jc w:val="both"/>
        <w:rPr>
          <w:rFonts w:ascii="Times New Roman" w:hAnsi="Times New Roman" w:cs="Times New Roman"/>
          <w:sz w:val="18"/>
          <w:szCs w:val="18"/>
        </w:rPr>
      </w:pPr>
      <w:r w:rsidRPr="002C1A46">
        <w:rPr>
          <w:rFonts w:ascii="Times New Roman" w:hAnsi="Times New Roman" w:cs="Times New Roman"/>
          <w:sz w:val="18"/>
          <w:szCs w:val="18"/>
        </w:rPr>
        <w:t>Y.O. and S.K. designed the study. Y.O. performed RMC–MD modelling. Y.O., H.M., and S.K. analysed the structural models. Y.O., H.M., and S.K. wrote the paper.</w:t>
      </w:r>
    </w:p>
    <w:p w14:paraId="177CDB0E" w14:textId="7521A500" w:rsidR="00C9557D" w:rsidRPr="002C1A46" w:rsidRDefault="00C9557D" w:rsidP="00C9557D">
      <w:pPr>
        <w:pStyle w:val="RSCB04AHeadingSection"/>
      </w:pPr>
      <w:r w:rsidRPr="002C1A46">
        <w:t>Conflict</w:t>
      </w:r>
      <w:r w:rsidR="00F05C18" w:rsidRPr="002C1A46">
        <w:t>s</w:t>
      </w:r>
      <w:r w:rsidRPr="002C1A46">
        <w:t xml:space="preserve"> of interest</w:t>
      </w:r>
    </w:p>
    <w:p w14:paraId="246AAD08" w14:textId="79807046" w:rsidR="00A05364" w:rsidRPr="002C1A46" w:rsidRDefault="00092FC6" w:rsidP="00092A52">
      <w:pPr>
        <w:spacing w:line="240" w:lineRule="exact"/>
        <w:jc w:val="both"/>
        <w:rPr>
          <w:rFonts w:ascii="Times New Roman" w:hAnsi="Times New Roman" w:cs="Times New Roman"/>
          <w:w w:val="108"/>
          <w:sz w:val="18"/>
          <w:szCs w:val="18"/>
        </w:rPr>
      </w:pPr>
      <w:r w:rsidRPr="002C1A46">
        <w:rPr>
          <w:rFonts w:ascii="Times New Roman" w:hAnsi="Times New Roman" w:cs="Times New Roman"/>
          <w:w w:val="108"/>
          <w:sz w:val="18"/>
          <w:szCs w:val="18"/>
        </w:rPr>
        <w:t>The authors declare that they have no c</w:t>
      </w:r>
      <w:r w:rsidR="00D064A2" w:rsidRPr="002C1A46">
        <w:rPr>
          <w:rFonts w:ascii="Times New Roman" w:hAnsi="Times New Roman" w:cs="Times New Roman"/>
          <w:w w:val="108"/>
          <w:sz w:val="18"/>
          <w:szCs w:val="18"/>
        </w:rPr>
        <w:t>o</w:t>
      </w:r>
      <w:r w:rsidRPr="002C1A46">
        <w:rPr>
          <w:rFonts w:ascii="Times New Roman" w:hAnsi="Times New Roman" w:cs="Times New Roman"/>
          <w:w w:val="108"/>
          <w:sz w:val="18"/>
          <w:szCs w:val="18"/>
        </w:rPr>
        <w:t>nflict of interest</w:t>
      </w:r>
      <w:r w:rsidR="00A05364" w:rsidRPr="002C1A46">
        <w:rPr>
          <w:rFonts w:ascii="Times New Roman" w:hAnsi="Times New Roman" w:cs="Times New Roman"/>
          <w:w w:val="108"/>
          <w:sz w:val="18"/>
          <w:szCs w:val="18"/>
        </w:rPr>
        <w:t>.</w:t>
      </w:r>
    </w:p>
    <w:p w14:paraId="5A8D9D2F" w14:textId="77777777" w:rsidR="00092A52" w:rsidRPr="002C1A46" w:rsidRDefault="00092A52" w:rsidP="00092A52">
      <w:pPr>
        <w:pStyle w:val="RSCB04AHeadingSection"/>
      </w:pPr>
      <w:r w:rsidRPr="002C1A46">
        <w:t>Data availability</w:t>
      </w:r>
    </w:p>
    <w:p w14:paraId="7BB820F8" w14:textId="47CBA2CC" w:rsidR="002A40A1" w:rsidRPr="002C1A46" w:rsidRDefault="00A912D4" w:rsidP="00A73868">
      <w:pPr>
        <w:pStyle w:val="RSCB04AHeadingSection"/>
        <w:spacing w:before="0" w:after="0" w:line="240" w:lineRule="exact"/>
        <w:jc w:val="both"/>
        <w:rPr>
          <w:rFonts w:ascii="Times New Roman" w:hAnsi="Times New Roman" w:cs="Times New Roman"/>
          <w:b w:val="0"/>
          <w:w w:val="108"/>
          <w:sz w:val="18"/>
          <w:szCs w:val="18"/>
          <w:lang w:eastAsia="ja-JP"/>
        </w:rPr>
      </w:pPr>
      <w:r w:rsidRPr="002C1A46">
        <w:rPr>
          <w:rFonts w:ascii="Times New Roman" w:hAnsi="Times New Roman" w:cs="Times New Roman"/>
          <w:b w:val="0"/>
          <w:w w:val="108"/>
          <w:sz w:val="18"/>
          <w:szCs w:val="18"/>
        </w:rPr>
        <w:t>The data that support the findings of this study are presented in the paper are available from the corresponding author upon reasonable request.</w:t>
      </w:r>
    </w:p>
    <w:p w14:paraId="2B7CDDB1" w14:textId="625B2A8C" w:rsidR="00FA2DA2" w:rsidRPr="002C1A46" w:rsidRDefault="00FA2DA2" w:rsidP="00FA2DA2">
      <w:pPr>
        <w:pStyle w:val="RSCB04AHeadingSection"/>
      </w:pPr>
      <w:r w:rsidRPr="002C1A46">
        <w:t>Acknowledgements</w:t>
      </w:r>
    </w:p>
    <w:p w14:paraId="70519FF5" w14:textId="76EE7A7A" w:rsidR="00FA2DA2" w:rsidRPr="002C1A46" w:rsidRDefault="00A73868" w:rsidP="00FA2DA2">
      <w:pPr>
        <w:pStyle w:val="RSCB02ArticleText"/>
        <w:rPr>
          <w:rFonts w:ascii="Times New Roman" w:hAnsi="Times New Roman"/>
        </w:rPr>
      </w:pPr>
      <w:r w:rsidRPr="002C1A46">
        <w:rPr>
          <w:rFonts w:ascii="Times New Roman" w:hAnsi="Times New Roman"/>
        </w:rPr>
        <w:t>This work was partially supported by the Japan Society for the Promotion of Science (JSPS) Grant-in-Aid for Scientific Research (C) Number 19K05648, and JSPS Grant-in-Aid for Transformative Research Areas (A) "Hyper-Ordered Structures Science" (Grant Numbers 20H05878, 20H05881, and 20H05882). The authors are grateful to Prof. U. Hoppe for providing us with the experimental diffraction data.</w:t>
      </w:r>
    </w:p>
    <w:p w14:paraId="1892B867" w14:textId="7DA74908" w:rsidR="00D010E8" w:rsidRPr="002C1A46" w:rsidRDefault="00850147" w:rsidP="0047645B">
      <w:pPr>
        <w:spacing w:before="400" w:after="80" w:line="240" w:lineRule="auto"/>
        <w:rPr>
          <w:sz w:val="18"/>
          <w:szCs w:val="18"/>
        </w:rPr>
      </w:pPr>
      <w:r w:rsidRPr="002C1A46">
        <w:rPr>
          <w:b/>
          <w:sz w:val="24"/>
        </w:rPr>
        <w:t>R</w:t>
      </w:r>
      <w:r w:rsidR="00E61949" w:rsidRPr="002C1A46">
        <w:rPr>
          <w:b/>
          <w:sz w:val="24"/>
        </w:rPr>
        <w:t>eferences</w:t>
      </w:r>
    </w:p>
    <w:p w14:paraId="5DAA418C" w14:textId="3207FF02"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W. H. Zachariasen, </w:t>
      </w:r>
      <w:r w:rsidRPr="002C1A46">
        <w:rPr>
          <w:rFonts w:ascii="Times New Roman" w:hAnsi="Times New Roman" w:cs="Times New Roman"/>
          <w:i/>
          <w:iCs/>
          <w:sz w:val="18"/>
          <w:szCs w:val="18"/>
          <w:lang w:eastAsia="ja-JP"/>
        </w:rPr>
        <w:t>J. Am. Chem. Soc</w:t>
      </w:r>
      <w:r w:rsidRPr="002C1A46">
        <w:rPr>
          <w:rFonts w:ascii="Times New Roman" w:hAnsi="Times New Roman" w:cs="Times New Roman"/>
          <w:sz w:val="18"/>
          <w:szCs w:val="18"/>
          <w:lang w:eastAsia="ja-JP"/>
        </w:rPr>
        <w:t xml:space="preserve">, 1932, </w:t>
      </w:r>
      <w:r w:rsidRPr="002C1A46">
        <w:rPr>
          <w:rFonts w:ascii="Times New Roman" w:hAnsi="Times New Roman" w:cs="Times New Roman"/>
          <w:b/>
          <w:bCs/>
          <w:sz w:val="18"/>
          <w:szCs w:val="18"/>
          <w:lang w:eastAsia="ja-JP"/>
        </w:rPr>
        <w:t>54</w:t>
      </w:r>
      <w:r w:rsidRPr="002C1A46">
        <w:rPr>
          <w:rFonts w:ascii="Times New Roman" w:hAnsi="Times New Roman" w:cs="Times New Roman"/>
          <w:sz w:val="18"/>
          <w:szCs w:val="18"/>
          <w:lang w:eastAsia="ja-JP"/>
        </w:rPr>
        <w:t>, 3841–3851.</w:t>
      </w:r>
    </w:p>
    <w:p w14:paraId="67A17897"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K. H. Sun, </w:t>
      </w:r>
      <w:r w:rsidRPr="002C1A46">
        <w:rPr>
          <w:rFonts w:ascii="Times New Roman" w:hAnsi="Times New Roman" w:cs="Times New Roman"/>
          <w:i/>
          <w:iCs/>
          <w:sz w:val="18"/>
          <w:szCs w:val="18"/>
          <w:lang w:eastAsia="ja-JP"/>
        </w:rPr>
        <w:t>J. Am. Ceram. Soc.</w:t>
      </w:r>
      <w:r w:rsidRPr="002C1A46">
        <w:rPr>
          <w:rFonts w:ascii="Times New Roman" w:hAnsi="Times New Roman" w:cs="Times New Roman"/>
          <w:sz w:val="18"/>
          <w:szCs w:val="18"/>
          <w:lang w:eastAsia="ja-JP"/>
        </w:rPr>
        <w:t xml:space="preserve">, 1947, </w:t>
      </w:r>
      <w:r w:rsidRPr="002C1A46">
        <w:rPr>
          <w:rFonts w:ascii="Times New Roman" w:hAnsi="Times New Roman" w:cs="Times New Roman"/>
          <w:b/>
          <w:bCs/>
          <w:sz w:val="18"/>
          <w:szCs w:val="18"/>
          <w:lang w:eastAsia="ja-JP"/>
        </w:rPr>
        <w:t>30</w:t>
      </w:r>
      <w:r w:rsidRPr="002C1A46">
        <w:rPr>
          <w:rFonts w:ascii="Times New Roman" w:hAnsi="Times New Roman" w:cs="Times New Roman"/>
          <w:sz w:val="18"/>
          <w:szCs w:val="18"/>
          <w:lang w:eastAsia="ja-JP"/>
        </w:rPr>
        <w:t>, 277–281.</w:t>
      </w:r>
    </w:p>
    <w:p w14:paraId="389C25CD"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G. N. Greaves and S. Sen, </w:t>
      </w:r>
      <w:r w:rsidRPr="002C1A46">
        <w:rPr>
          <w:rFonts w:ascii="Times New Roman" w:hAnsi="Times New Roman" w:cs="Times New Roman"/>
          <w:i/>
          <w:iCs/>
          <w:sz w:val="18"/>
          <w:szCs w:val="18"/>
          <w:lang w:eastAsia="ja-JP"/>
        </w:rPr>
        <w:t>Adv. Phys.</w:t>
      </w:r>
      <w:r w:rsidRPr="002C1A46">
        <w:rPr>
          <w:rFonts w:ascii="Times New Roman" w:hAnsi="Times New Roman" w:cs="Times New Roman"/>
          <w:sz w:val="18"/>
          <w:szCs w:val="18"/>
          <w:lang w:eastAsia="ja-JP"/>
        </w:rPr>
        <w:t xml:space="preserve">, 2007, </w:t>
      </w:r>
      <w:r w:rsidRPr="002C1A46">
        <w:rPr>
          <w:rFonts w:ascii="Times New Roman" w:hAnsi="Times New Roman" w:cs="Times New Roman"/>
          <w:b/>
          <w:bCs/>
          <w:sz w:val="18"/>
          <w:szCs w:val="18"/>
          <w:lang w:eastAsia="ja-JP"/>
        </w:rPr>
        <w:t>56</w:t>
      </w:r>
      <w:r w:rsidRPr="002C1A46">
        <w:rPr>
          <w:rFonts w:ascii="Times New Roman" w:hAnsi="Times New Roman" w:cs="Times New Roman"/>
          <w:sz w:val="18"/>
          <w:szCs w:val="18"/>
          <w:lang w:eastAsia="ja-JP"/>
        </w:rPr>
        <w:t>, 1–166.</w:t>
      </w:r>
    </w:p>
    <w:p w14:paraId="5963075B"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W. Martin and C. A. Angell, </w:t>
      </w:r>
      <w:r w:rsidRPr="002C1A46">
        <w:rPr>
          <w:rFonts w:ascii="Times New Roman" w:hAnsi="Times New Roman" w:cs="Times New Roman"/>
          <w:i/>
          <w:iCs/>
          <w:sz w:val="18"/>
          <w:szCs w:val="18"/>
          <w:lang w:eastAsia="ja-JP"/>
        </w:rPr>
        <w:t>J. Phys. Chem.</w:t>
      </w:r>
      <w:r w:rsidRPr="002C1A46">
        <w:rPr>
          <w:rFonts w:ascii="Times New Roman" w:hAnsi="Times New Roman" w:cs="Times New Roman"/>
          <w:sz w:val="18"/>
          <w:szCs w:val="18"/>
          <w:lang w:eastAsia="ja-JP"/>
        </w:rPr>
        <w:t xml:space="preserve">, 1986, </w:t>
      </w:r>
      <w:r w:rsidRPr="002C1A46">
        <w:rPr>
          <w:rFonts w:ascii="Times New Roman" w:hAnsi="Times New Roman" w:cs="Times New Roman"/>
          <w:b/>
          <w:bCs/>
          <w:sz w:val="18"/>
          <w:szCs w:val="18"/>
          <w:lang w:eastAsia="ja-JP"/>
        </w:rPr>
        <w:t>90</w:t>
      </w:r>
      <w:r w:rsidRPr="002C1A46">
        <w:rPr>
          <w:rFonts w:ascii="Times New Roman" w:hAnsi="Times New Roman" w:cs="Times New Roman"/>
          <w:sz w:val="18"/>
          <w:szCs w:val="18"/>
          <w:lang w:eastAsia="ja-JP"/>
        </w:rPr>
        <w:t>, 6736–6740.</w:t>
      </w:r>
    </w:p>
    <w:p w14:paraId="471E1EC0"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E. T. Y. Lee and E. M. Taylor, in </w:t>
      </w:r>
      <w:r w:rsidRPr="002C1A46">
        <w:rPr>
          <w:rFonts w:ascii="Times New Roman" w:hAnsi="Times New Roman" w:cs="Times New Roman"/>
          <w:i/>
          <w:iCs/>
          <w:sz w:val="18"/>
          <w:szCs w:val="18"/>
          <w:lang w:eastAsia="ja-JP"/>
        </w:rPr>
        <w:t>Trends in Optical Materials Research</w:t>
      </w:r>
      <w:r w:rsidRPr="002C1A46">
        <w:rPr>
          <w:rFonts w:ascii="Times New Roman" w:hAnsi="Times New Roman" w:cs="Times New Roman"/>
          <w:sz w:val="18"/>
          <w:szCs w:val="18"/>
          <w:lang w:eastAsia="ja-JP"/>
        </w:rPr>
        <w:t>, ed. O. G. Gardens, Nova Science Publishers, Inc., New York, 2007, pp. 137–183.</w:t>
      </w:r>
    </w:p>
    <w:p w14:paraId="698E8CC8"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R. K. Brow and D. R. Tallant,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1997, </w:t>
      </w:r>
      <w:r w:rsidRPr="002C1A46">
        <w:rPr>
          <w:rFonts w:ascii="Times New Roman" w:hAnsi="Times New Roman" w:cs="Times New Roman"/>
          <w:b/>
          <w:bCs/>
          <w:sz w:val="18"/>
          <w:szCs w:val="18"/>
          <w:lang w:eastAsia="ja-JP"/>
        </w:rPr>
        <w:t>222</w:t>
      </w:r>
      <w:r w:rsidRPr="002C1A46">
        <w:rPr>
          <w:rFonts w:ascii="Times New Roman" w:hAnsi="Times New Roman" w:cs="Times New Roman"/>
          <w:sz w:val="18"/>
          <w:szCs w:val="18"/>
          <w:lang w:eastAsia="ja-JP"/>
        </w:rPr>
        <w:t>, 396–406.</w:t>
      </w:r>
    </w:p>
    <w:p w14:paraId="1CBBB71D" w14:textId="76125281"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T. Naito, A. Matsuda, D. </w:t>
      </w:r>
      <w:proofErr w:type="spellStart"/>
      <w:r w:rsidRPr="002C1A46">
        <w:rPr>
          <w:rFonts w:ascii="Times New Roman" w:hAnsi="Times New Roman" w:cs="Times New Roman"/>
          <w:sz w:val="18"/>
          <w:szCs w:val="18"/>
          <w:lang w:eastAsia="ja-JP"/>
        </w:rPr>
        <w:t>Shiojiri</w:t>
      </w:r>
      <w:proofErr w:type="spellEnd"/>
      <w:r w:rsidRPr="002C1A46">
        <w:rPr>
          <w:rFonts w:ascii="Times New Roman" w:hAnsi="Times New Roman" w:cs="Times New Roman"/>
          <w:sz w:val="18"/>
          <w:szCs w:val="18"/>
          <w:lang w:eastAsia="ja-JP"/>
        </w:rPr>
        <w:t xml:space="preserve">, T. Aoyagi, Y. Sawai, T. Fujieda, S. </w:t>
      </w:r>
      <w:proofErr w:type="spellStart"/>
      <w:r w:rsidRPr="002C1A46">
        <w:rPr>
          <w:rFonts w:ascii="Times New Roman" w:hAnsi="Times New Roman" w:cs="Times New Roman"/>
          <w:sz w:val="18"/>
          <w:szCs w:val="18"/>
          <w:lang w:eastAsia="ja-JP"/>
        </w:rPr>
        <w:t>Tachizono</w:t>
      </w:r>
      <w:proofErr w:type="spellEnd"/>
      <w:r w:rsidRPr="002C1A46">
        <w:rPr>
          <w:rFonts w:ascii="Times New Roman" w:hAnsi="Times New Roman" w:cs="Times New Roman"/>
          <w:sz w:val="18"/>
          <w:szCs w:val="18"/>
          <w:lang w:eastAsia="ja-JP"/>
        </w:rPr>
        <w:t xml:space="preserve">, K. Yoshimura, Y. </w:t>
      </w:r>
      <w:proofErr w:type="spellStart"/>
      <w:r w:rsidRPr="002C1A46">
        <w:rPr>
          <w:rFonts w:ascii="Times New Roman" w:hAnsi="Times New Roman" w:cs="Times New Roman"/>
          <w:sz w:val="18"/>
          <w:szCs w:val="18"/>
          <w:lang w:eastAsia="ja-JP"/>
        </w:rPr>
        <w:t>Hashiba</w:t>
      </w:r>
      <w:proofErr w:type="spellEnd"/>
      <w:r w:rsidRPr="002C1A46">
        <w:rPr>
          <w:rFonts w:ascii="Times New Roman" w:hAnsi="Times New Roman" w:cs="Times New Roman"/>
          <w:sz w:val="18"/>
          <w:szCs w:val="18"/>
          <w:lang w:eastAsia="ja-JP"/>
        </w:rPr>
        <w:t xml:space="preserve"> and M. Yoshimoto, </w:t>
      </w:r>
      <w:r w:rsidRPr="002C1A46">
        <w:rPr>
          <w:rFonts w:ascii="Times New Roman" w:hAnsi="Times New Roman" w:cs="Times New Roman"/>
          <w:i/>
          <w:iCs/>
          <w:sz w:val="18"/>
          <w:szCs w:val="18"/>
          <w:lang w:eastAsia="ja-JP"/>
        </w:rPr>
        <w:t xml:space="preserve">J. Ceram. Soc. </w:t>
      </w:r>
      <w:proofErr w:type="spellStart"/>
      <w:r w:rsidRPr="002C1A46">
        <w:rPr>
          <w:rFonts w:ascii="Times New Roman" w:hAnsi="Times New Roman" w:cs="Times New Roman"/>
          <w:i/>
          <w:iCs/>
          <w:sz w:val="18"/>
          <w:szCs w:val="18"/>
          <w:lang w:eastAsia="ja-JP"/>
        </w:rPr>
        <w:t>Jpn</w:t>
      </w:r>
      <w:proofErr w:type="spellEnd"/>
      <w:r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2013, </w:t>
      </w:r>
      <w:r w:rsidRPr="002C1A46">
        <w:rPr>
          <w:rFonts w:ascii="Times New Roman" w:hAnsi="Times New Roman" w:cs="Times New Roman"/>
          <w:b/>
          <w:bCs/>
          <w:sz w:val="18"/>
          <w:szCs w:val="18"/>
          <w:lang w:eastAsia="ja-JP"/>
        </w:rPr>
        <w:t>121</w:t>
      </w:r>
      <w:r w:rsidRPr="002C1A46">
        <w:rPr>
          <w:rFonts w:ascii="Times New Roman" w:hAnsi="Times New Roman" w:cs="Times New Roman"/>
          <w:sz w:val="18"/>
          <w:szCs w:val="18"/>
          <w:lang w:eastAsia="ja-JP"/>
        </w:rPr>
        <w:t>, 452–456.</w:t>
      </w:r>
    </w:p>
    <w:p w14:paraId="686CA0EF"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L. L. Hench, R. J. Splinter and W. C. Allen, </w:t>
      </w:r>
      <w:r w:rsidRPr="002C1A46">
        <w:rPr>
          <w:rFonts w:ascii="Times New Roman" w:hAnsi="Times New Roman" w:cs="Times New Roman"/>
          <w:i/>
          <w:iCs/>
          <w:sz w:val="18"/>
          <w:szCs w:val="18"/>
          <w:lang w:eastAsia="ja-JP"/>
        </w:rPr>
        <w:t>J. Biomed. Mater. Res.</w:t>
      </w:r>
      <w:r w:rsidRPr="002C1A46">
        <w:rPr>
          <w:rFonts w:ascii="Times New Roman" w:hAnsi="Times New Roman" w:cs="Times New Roman"/>
          <w:sz w:val="18"/>
          <w:szCs w:val="18"/>
          <w:lang w:eastAsia="ja-JP"/>
        </w:rPr>
        <w:t xml:space="preserve">, 1971, </w:t>
      </w:r>
      <w:r w:rsidRPr="002C1A46">
        <w:rPr>
          <w:rFonts w:ascii="Times New Roman" w:hAnsi="Times New Roman" w:cs="Times New Roman"/>
          <w:b/>
          <w:bCs/>
          <w:sz w:val="18"/>
          <w:szCs w:val="18"/>
          <w:lang w:eastAsia="ja-JP"/>
        </w:rPr>
        <w:t>2</w:t>
      </w:r>
      <w:r w:rsidRPr="002C1A46">
        <w:rPr>
          <w:rFonts w:ascii="Times New Roman" w:hAnsi="Times New Roman" w:cs="Times New Roman"/>
          <w:sz w:val="18"/>
          <w:szCs w:val="18"/>
          <w:lang w:eastAsia="ja-JP"/>
        </w:rPr>
        <w:t xml:space="preserve">, 117–141. </w:t>
      </w:r>
    </w:p>
    <w:p w14:paraId="2A66E304"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Ö. H. Andersson and K. H. Karlsson,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1991, </w:t>
      </w:r>
      <w:r w:rsidRPr="002C1A46">
        <w:rPr>
          <w:rFonts w:ascii="Times New Roman" w:hAnsi="Times New Roman" w:cs="Times New Roman"/>
          <w:b/>
          <w:bCs/>
          <w:sz w:val="18"/>
          <w:szCs w:val="18"/>
          <w:lang w:eastAsia="ja-JP"/>
        </w:rPr>
        <w:t>129</w:t>
      </w:r>
      <w:r w:rsidRPr="002C1A46">
        <w:rPr>
          <w:rFonts w:ascii="Times New Roman" w:hAnsi="Times New Roman" w:cs="Times New Roman"/>
          <w:sz w:val="18"/>
          <w:szCs w:val="18"/>
          <w:lang w:eastAsia="ja-JP"/>
        </w:rPr>
        <w:t>, 145–151.</w:t>
      </w:r>
    </w:p>
    <w:p w14:paraId="481FE366"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J. H. Campbell and T. I. </w:t>
      </w:r>
      <w:proofErr w:type="spellStart"/>
      <w:r w:rsidRPr="002C1A46">
        <w:rPr>
          <w:rFonts w:ascii="Times New Roman" w:hAnsi="Times New Roman" w:cs="Times New Roman"/>
          <w:sz w:val="18"/>
          <w:szCs w:val="18"/>
          <w:lang w:eastAsia="ja-JP"/>
        </w:rPr>
        <w:t>Suratwala</w:t>
      </w:r>
      <w:proofErr w:type="spellEnd"/>
      <w:r w:rsidRPr="002C1A46">
        <w:rPr>
          <w:rFonts w:ascii="Times New Roman" w:hAnsi="Times New Roman" w:cs="Times New Roman"/>
          <w:sz w:val="18"/>
          <w:szCs w:val="18"/>
          <w:lang w:eastAsia="ja-JP"/>
        </w:rPr>
        <w:t xml:space="preserve">,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2000, </w:t>
      </w:r>
      <w:r w:rsidRPr="002C1A46">
        <w:rPr>
          <w:rFonts w:ascii="Times New Roman" w:hAnsi="Times New Roman" w:cs="Times New Roman"/>
          <w:b/>
          <w:bCs/>
          <w:sz w:val="18"/>
          <w:szCs w:val="18"/>
          <w:lang w:eastAsia="ja-JP"/>
        </w:rPr>
        <w:t>263–264</w:t>
      </w:r>
      <w:r w:rsidRPr="002C1A46">
        <w:rPr>
          <w:rFonts w:ascii="Times New Roman" w:hAnsi="Times New Roman" w:cs="Times New Roman"/>
          <w:sz w:val="18"/>
          <w:szCs w:val="18"/>
          <w:lang w:eastAsia="ja-JP"/>
        </w:rPr>
        <w:t>, 318–341.</w:t>
      </w:r>
    </w:p>
    <w:p w14:paraId="0A639CD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H. Masai, Y. Takahashi, T. Fujiwara, S. Matsumoto and T. Yoko, </w:t>
      </w:r>
      <w:r w:rsidRPr="002C1A46">
        <w:rPr>
          <w:rFonts w:ascii="Times New Roman" w:hAnsi="Times New Roman" w:cs="Times New Roman"/>
          <w:i/>
          <w:iCs/>
          <w:sz w:val="18"/>
          <w:szCs w:val="18"/>
          <w:lang w:eastAsia="ja-JP"/>
        </w:rPr>
        <w:t>Appl. Phys. Express</w:t>
      </w:r>
      <w:r w:rsidRPr="002C1A46">
        <w:rPr>
          <w:rFonts w:ascii="Times New Roman" w:hAnsi="Times New Roman" w:cs="Times New Roman"/>
          <w:sz w:val="18"/>
          <w:szCs w:val="18"/>
          <w:lang w:eastAsia="ja-JP"/>
        </w:rPr>
        <w:t xml:space="preserve">, 2010, </w:t>
      </w:r>
      <w:r w:rsidRPr="002C1A46">
        <w:rPr>
          <w:rFonts w:ascii="Times New Roman" w:hAnsi="Times New Roman" w:cs="Times New Roman"/>
          <w:b/>
          <w:bCs/>
          <w:sz w:val="18"/>
          <w:szCs w:val="18"/>
          <w:lang w:eastAsia="ja-JP"/>
        </w:rPr>
        <w:t>3</w:t>
      </w:r>
      <w:r w:rsidRPr="002C1A46">
        <w:rPr>
          <w:rFonts w:ascii="Times New Roman" w:hAnsi="Times New Roman" w:cs="Times New Roman"/>
          <w:sz w:val="18"/>
          <w:szCs w:val="18"/>
          <w:lang w:eastAsia="ja-JP"/>
        </w:rPr>
        <w:t>, 082102.</w:t>
      </w:r>
    </w:p>
    <w:p w14:paraId="2A83D2D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Y. C. Yan, A. J. Faber, H. de Waal, P. G. Kik and A. Polman, </w:t>
      </w:r>
      <w:r w:rsidRPr="002C1A46">
        <w:rPr>
          <w:rFonts w:ascii="Times New Roman" w:hAnsi="Times New Roman" w:cs="Times New Roman"/>
          <w:i/>
          <w:iCs/>
          <w:sz w:val="18"/>
          <w:szCs w:val="18"/>
          <w:lang w:eastAsia="ja-JP"/>
        </w:rPr>
        <w:t>Appl. Phys. Lett.</w:t>
      </w:r>
      <w:r w:rsidRPr="002C1A46">
        <w:rPr>
          <w:rFonts w:ascii="Times New Roman" w:hAnsi="Times New Roman" w:cs="Times New Roman"/>
          <w:sz w:val="18"/>
          <w:szCs w:val="18"/>
          <w:lang w:eastAsia="ja-JP"/>
        </w:rPr>
        <w:t xml:space="preserve">, 1997, </w:t>
      </w:r>
      <w:r w:rsidRPr="002C1A46">
        <w:rPr>
          <w:rFonts w:ascii="Times New Roman" w:hAnsi="Times New Roman" w:cs="Times New Roman"/>
          <w:b/>
          <w:bCs/>
          <w:sz w:val="18"/>
          <w:szCs w:val="18"/>
          <w:lang w:eastAsia="ja-JP"/>
        </w:rPr>
        <w:t>71</w:t>
      </w:r>
      <w:r w:rsidRPr="002C1A46">
        <w:rPr>
          <w:rFonts w:ascii="Times New Roman" w:hAnsi="Times New Roman" w:cs="Times New Roman"/>
          <w:sz w:val="18"/>
          <w:szCs w:val="18"/>
          <w:lang w:eastAsia="ja-JP"/>
        </w:rPr>
        <w:t>, 2922–2924.</w:t>
      </w:r>
    </w:p>
    <w:p w14:paraId="1E3B946A"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Inaba, H. Hosono and S. Ito, </w:t>
      </w:r>
      <w:r w:rsidRPr="002C1A46">
        <w:rPr>
          <w:rFonts w:ascii="Times New Roman" w:hAnsi="Times New Roman" w:cs="Times New Roman"/>
          <w:i/>
          <w:iCs/>
          <w:sz w:val="18"/>
          <w:szCs w:val="18"/>
          <w:lang w:eastAsia="ja-JP"/>
        </w:rPr>
        <w:t>Nat. Mater.</w:t>
      </w:r>
      <w:r w:rsidRPr="002C1A46">
        <w:rPr>
          <w:rFonts w:ascii="Times New Roman" w:hAnsi="Times New Roman" w:cs="Times New Roman"/>
          <w:sz w:val="18"/>
          <w:szCs w:val="18"/>
          <w:lang w:eastAsia="ja-JP"/>
        </w:rPr>
        <w:t xml:space="preserve">, 2015, </w:t>
      </w:r>
      <w:r w:rsidRPr="002C1A46">
        <w:rPr>
          <w:rFonts w:ascii="Times New Roman" w:hAnsi="Times New Roman" w:cs="Times New Roman"/>
          <w:b/>
          <w:bCs/>
          <w:sz w:val="18"/>
          <w:szCs w:val="18"/>
          <w:lang w:eastAsia="ja-JP"/>
        </w:rPr>
        <w:t>14</w:t>
      </w:r>
      <w:r w:rsidRPr="002C1A46">
        <w:rPr>
          <w:rFonts w:ascii="Times New Roman" w:hAnsi="Times New Roman" w:cs="Times New Roman"/>
          <w:sz w:val="18"/>
          <w:szCs w:val="18"/>
          <w:lang w:eastAsia="ja-JP"/>
        </w:rPr>
        <w:t>, 312–314.</w:t>
      </w:r>
    </w:p>
    <w:p w14:paraId="6EB95CFA"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U. Hoppe, G. Walter, A. Barz, D. Stachel and A. C. Hannon, </w:t>
      </w:r>
      <w:r w:rsidRPr="002C1A46">
        <w:rPr>
          <w:rFonts w:ascii="Times New Roman" w:hAnsi="Times New Roman" w:cs="Times New Roman"/>
          <w:i/>
          <w:iCs/>
          <w:sz w:val="18"/>
          <w:szCs w:val="18"/>
          <w:lang w:eastAsia="ja-JP"/>
        </w:rPr>
        <w:t xml:space="preserve">J. Phys. </w:t>
      </w:r>
      <w:proofErr w:type="spellStart"/>
      <w:r w:rsidRPr="002C1A46">
        <w:rPr>
          <w:rFonts w:ascii="Times New Roman" w:hAnsi="Times New Roman" w:cs="Times New Roman"/>
          <w:i/>
          <w:iCs/>
          <w:sz w:val="18"/>
          <w:szCs w:val="18"/>
          <w:lang w:eastAsia="ja-JP"/>
        </w:rPr>
        <w:t>Condens</w:t>
      </w:r>
      <w:proofErr w:type="spellEnd"/>
      <w:r w:rsidRPr="002C1A46">
        <w:rPr>
          <w:rFonts w:ascii="Times New Roman" w:hAnsi="Times New Roman" w:cs="Times New Roman"/>
          <w:i/>
          <w:iCs/>
          <w:sz w:val="18"/>
          <w:szCs w:val="18"/>
          <w:lang w:eastAsia="ja-JP"/>
        </w:rPr>
        <w:t>. Matter</w:t>
      </w:r>
      <w:r w:rsidRPr="002C1A46">
        <w:rPr>
          <w:rFonts w:ascii="Times New Roman" w:hAnsi="Times New Roman" w:cs="Times New Roman"/>
          <w:sz w:val="18"/>
          <w:szCs w:val="18"/>
          <w:lang w:eastAsia="ja-JP"/>
        </w:rPr>
        <w:t xml:space="preserve">, 1998, </w:t>
      </w:r>
      <w:r w:rsidRPr="002C1A46">
        <w:rPr>
          <w:rFonts w:ascii="Times New Roman" w:hAnsi="Times New Roman" w:cs="Times New Roman"/>
          <w:b/>
          <w:bCs/>
          <w:sz w:val="18"/>
          <w:szCs w:val="18"/>
          <w:lang w:eastAsia="ja-JP"/>
        </w:rPr>
        <w:t>10</w:t>
      </w:r>
      <w:r w:rsidRPr="002C1A46">
        <w:rPr>
          <w:rFonts w:ascii="Times New Roman" w:hAnsi="Times New Roman" w:cs="Times New Roman"/>
          <w:sz w:val="18"/>
          <w:szCs w:val="18"/>
          <w:lang w:eastAsia="ja-JP"/>
        </w:rPr>
        <w:t>, 261–270.</w:t>
      </w:r>
    </w:p>
    <w:p w14:paraId="5830E50B"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K. Suzuya, D. L. Price, C.-K. Loong and S. W. Martin,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1998, </w:t>
      </w:r>
      <w:r w:rsidRPr="002C1A46">
        <w:rPr>
          <w:rFonts w:ascii="Times New Roman" w:hAnsi="Times New Roman" w:cs="Times New Roman"/>
          <w:b/>
          <w:bCs/>
          <w:sz w:val="18"/>
          <w:szCs w:val="18"/>
          <w:lang w:eastAsia="ja-JP"/>
        </w:rPr>
        <w:t>232–234</w:t>
      </w:r>
      <w:r w:rsidRPr="002C1A46">
        <w:rPr>
          <w:rFonts w:ascii="Times New Roman" w:hAnsi="Times New Roman" w:cs="Times New Roman"/>
          <w:sz w:val="18"/>
          <w:szCs w:val="18"/>
          <w:lang w:eastAsia="ja-JP"/>
        </w:rPr>
        <w:t>, 650–657.</w:t>
      </w:r>
    </w:p>
    <w:p w14:paraId="66CFCB8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U. Hoppe, R. Kranold, A. Barz, D. Stachel and J, </w:t>
      </w:r>
      <w:proofErr w:type="spellStart"/>
      <w:r w:rsidRPr="002C1A46">
        <w:rPr>
          <w:rFonts w:ascii="Times New Roman" w:hAnsi="Times New Roman" w:cs="Times New Roman"/>
          <w:sz w:val="18"/>
          <w:szCs w:val="18"/>
          <w:lang w:eastAsia="ja-JP"/>
        </w:rPr>
        <w:t>Neuefeind</w:t>
      </w:r>
      <w:proofErr w:type="spellEnd"/>
      <w:r w:rsidRPr="002C1A46">
        <w:rPr>
          <w:rFonts w:ascii="Times New Roman" w:hAnsi="Times New Roman" w:cs="Times New Roman"/>
          <w:sz w:val="18"/>
          <w:szCs w:val="18"/>
          <w:lang w:eastAsia="ja-JP"/>
        </w:rPr>
        <w:t xml:space="preserve">, </w:t>
      </w:r>
      <w:r w:rsidRPr="002C1A46">
        <w:rPr>
          <w:rFonts w:ascii="Times New Roman" w:hAnsi="Times New Roman" w:cs="Times New Roman"/>
          <w:i/>
          <w:iCs/>
          <w:sz w:val="18"/>
          <w:szCs w:val="18"/>
          <w:lang w:eastAsia="ja-JP"/>
        </w:rPr>
        <w:t>Solid State Commun.</w:t>
      </w:r>
      <w:r w:rsidRPr="002C1A46">
        <w:rPr>
          <w:rFonts w:ascii="Times New Roman" w:hAnsi="Times New Roman" w:cs="Times New Roman"/>
          <w:sz w:val="18"/>
          <w:szCs w:val="18"/>
          <w:lang w:eastAsia="ja-JP"/>
        </w:rPr>
        <w:t xml:space="preserve">, 2000, </w:t>
      </w:r>
      <w:r w:rsidRPr="002C1A46">
        <w:rPr>
          <w:rFonts w:ascii="Times New Roman" w:hAnsi="Times New Roman" w:cs="Times New Roman"/>
          <w:b/>
          <w:bCs/>
          <w:sz w:val="18"/>
          <w:szCs w:val="18"/>
          <w:lang w:eastAsia="ja-JP"/>
        </w:rPr>
        <w:t>115</w:t>
      </w:r>
      <w:r w:rsidRPr="002C1A46">
        <w:rPr>
          <w:rFonts w:ascii="Times New Roman" w:hAnsi="Times New Roman" w:cs="Times New Roman"/>
          <w:sz w:val="18"/>
          <w:szCs w:val="18"/>
          <w:lang w:eastAsia="ja-JP"/>
        </w:rPr>
        <w:t>, 559–562.</w:t>
      </w:r>
    </w:p>
    <w:p w14:paraId="4CBF2560"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F. L. Galeener and J. C. Mikkelsen Jr., </w:t>
      </w:r>
      <w:r w:rsidRPr="002C1A46">
        <w:rPr>
          <w:rFonts w:ascii="Times New Roman" w:hAnsi="Times New Roman" w:cs="Times New Roman"/>
          <w:i/>
          <w:iCs/>
          <w:sz w:val="18"/>
          <w:szCs w:val="18"/>
          <w:lang w:eastAsia="ja-JP"/>
        </w:rPr>
        <w:t>Solid State Commun.</w:t>
      </w:r>
      <w:r w:rsidRPr="002C1A46">
        <w:rPr>
          <w:rFonts w:ascii="Times New Roman" w:hAnsi="Times New Roman" w:cs="Times New Roman"/>
          <w:sz w:val="18"/>
          <w:szCs w:val="18"/>
          <w:lang w:eastAsia="ja-JP"/>
        </w:rPr>
        <w:t xml:space="preserve">, 1979, </w:t>
      </w:r>
      <w:r w:rsidRPr="002C1A46">
        <w:rPr>
          <w:rFonts w:ascii="Times New Roman" w:hAnsi="Times New Roman" w:cs="Times New Roman"/>
          <w:b/>
          <w:bCs/>
          <w:sz w:val="18"/>
          <w:szCs w:val="18"/>
          <w:lang w:eastAsia="ja-JP"/>
        </w:rPr>
        <w:t>30</w:t>
      </w:r>
      <w:r w:rsidRPr="002C1A46">
        <w:rPr>
          <w:rFonts w:ascii="Times New Roman" w:hAnsi="Times New Roman" w:cs="Times New Roman"/>
          <w:sz w:val="18"/>
          <w:szCs w:val="18"/>
          <w:lang w:eastAsia="ja-JP"/>
        </w:rPr>
        <w:t>, 505–510.</w:t>
      </w:r>
    </w:p>
    <w:p w14:paraId="5C09A3F9"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R. K. </w:t>
      </w:r>
      <w:proofErr w:type="spellStart"/>
      <w:r w:rsidRPr="002C1A46">
        <w:rPr>
          <w:rFonts w:ascii="Times New Roman" w:hAnsi="Times New Roman" w:cs="Times New Roman"/>
          <w:sz w:val="18"/>
          <w:szCs w:val="18"/>
          <w:lang w:eastAsia="ja-JP"/>
        </w:rPr>
        <w:t>Brow</w:t>
      </w:r>
      <w:proofErr w:type="spellEnd"/>
      <w:r w:rsidRPr="002C1A46">
        <w:rPr>
          <w:rFonts w:ascii="Times New Roman" w:hAnsi="Times New Roman" w:cs="Times New Roman"/>
          <w:sz w:val="18"/>
          <w:szCs w:val="18"/>
          <w:lang w:eastAsia="ja-JP"/>
        </w:rPr>
        <w:t xml:space="preserve">, D. R. Tallant, J. J. Hudgens, S. W. Martin and A. D. Irwin,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1994, </w:t>
      </w:r>
      <w:r w:rsidRPr="002C1A46">
        <w:rPr>
          <w:rFonts w:ascii="Times New Roman" w:hAnsi="Times New Roman" w:cs="Times New Roman"/>
          <w:b/>
          <w:bCs/>
          <w:sz w:val="18"/>
          <w:szCs w:val="18"/>
          <w:lang w:eastAsia="ja-JP"/>
        </w:rPr>
        <w:t>177</w:t>
      </w:r>
      <w:r w:rsidRPr="002C1A46">
        <w:rPr>
          <w:rFonts w:ascii="Times New Roman" w:hAnsi="Times New Roman" w:cs="Times New Roman"/>
          <w:sz w:val="18"/>
          <w:szCs w:val="18"/>
          <w:lang w:eastAsia="ja-JP"/>
        </w:rPr>
        <w:t>, 221–228.</w:t>
      </w:r>
    </w:p>
    <w:p w14:paraId="78E467F6"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R. L. McGreevy and L. Pusztai, </w:t>
      </w:r>
      <w:r w:rsidRPr="002C1A46">
        <w:rPr>
          <w:rFonts w:ascii="Times New Roman" w:hAnsi="Times New Roman" w:cs="Times New Roman"/>
          <w:i/>
          <w:iCs/>
          <w:sz w:val="18"/>
          <w:szCs w:val="18"/>
          <w:lang w:eastAsia="ja-JP"/>
        </w:rPr>
        <w:t xml:space="preserve">Mol. </w:t>
      </w:r>
      <w:proofErr w:type="spellStart"/>
      <w:r w:rsidRPr="002C1A46">
        <w:rPr>
          <w:rFonts w:ascii="Times New Roman" w:hAnsi="Times New Roman" w:cs="Times New Roman"/>
          <w:i/>
          <w:iCs/>
          <w:sz w:val="18"/>
          <w:szCs w:val="18"/>
          <w:lang w:eastAsia="ja-JP"/>
        </w:rPr>
        <w:t>Simulat</w:t>
      </w:r>
      <w:proofErr w:type="spellEnd"/>
      <w:r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1988, </w:t>
      </w:r>
      <w:r w:rsidRPr="002C1A46">
        <w:rPr>
          <w:rFonts w:ascii="Times New Roman" w:hAnsi="Times New Roman" w:cs="Times New Roman"/>
          <w:b/>
          <w:bCs/>
          <w:sz w:val="18"/>
          <w:szCs w:val="18"/>
          <w:lang w:eastAsia="ja-JP"/>
        </w:rPr>
        <w:t>1</w:t>
      </w:r>
      <w:r w:rsidRPr="002C1A46">
        <w:rPr>
          <w:rFonts w:ascii="Times New Roman" w:hAnsi="Times New Roman" w:cs="Times New Roman"/>
          <w:sz w:val="18"/>
          <w:szCs w:val="18"/>
          <w:lang w:eastAsia="ja-JP"/>
        </w:rPr>
        <w:t>, 359–367.</w:t>
      </w:r>
    </w:p>
    <w:p w14:paraId="6D7546C5"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U. Hoppe, </w:t>
      </w:r>
      <w:r w:rsidRPr="002C1A46">
        <w:rPr>
          <w:rFonts w:ascii="Times New Roman" w:hAnsi="Times New Roman" w:cs="Times New Roman"/>
          <w:i/>
          <w:iCs/>
          <w:sz w:val="18"/>
          <w:szCs w:val="18"/>
          <w:lang w:eastAsia="ja-JP"/>
        </w:rPr>
        <w:t xml:space="preserve">J. Phys. </w:t>
      </w:r>
      <w:proofErr w:type="spellStart"/>
      <w:r w:rsidRPr="002C1A46">
        <w:rPr>
          <w:rFonts w:ascii="Times New Roman" w:hAnsi="Times New Roman" w:cs="Times New Roman"/>
          <w:i/>
          <w:iCs/>
          <w:sz w:val="18"/>
          <w:szCs w:val="18"/>
          <w:lang w:eastAsia="ja-JP"/>
        </w:rPr>
        <w:t>Condens</w:t>
      </w:r>
      <w:proofErr w:type="spellEnd"/>
      <w:r w:rsidRPr="002C1A46">
        <w:rPr>
          <w:rFonts w:ascii="Times New Roman" w:hAnsi="Times New Roman" w:cs="Times New Roman"/>
          <w:i/>
          <w:iCs/>
          <w:sz w:val="18"/>
          <w:szCs w:val="18"/>
          <w:lang w:eastAsia="ja-JP"/>
        </w:rPr>
        <w:t>. Matter</w:t>
      </w:r>
      <w:r w:rsidRPr="002C1A46">
        <w:rPr>
          <w:rFonts w:ascii="Times New Roman" w:hAnsi="Times New Roman" w:cs="Times New Roman"/>
          <w:sz w:val="18"/>
          <w:szCs w:val="18"/>
          <w:lang w:eastAsia="ja-JP"/>
        </w:rPr>
        <w:t xml:space="preserve">, 2000, </w:t>
      </w:r>
      <w:r w:rsidRPr="002C1A46">
        <w:rPr>
          <w:rFonts w:ascii="Times New Roman" w:hAnsi="Times New Roman" w:cs="Times New Roman"/>
          <w:b/>
          <w:bCs/>
          <w:sz w:val="18"/>
          <w:szCs w:val="18"/>
          <w:lang w:eastAsia="ja-JP"/>
        </w:rPr>
        <w:t>12</w:t>
      </w:r>
      <w:r w:rsidRPr="002C1A46">
        <w:rPr>
          <w:rFonts w:ascii="Times New Roman" w:hAnsi="Times New Roman" w:cs="Times New Roman"/>
          <w:sz w:val="18"/>
          <w:szCs w:val="18"/>
          <w:lang w:eastAsia="ja-JP"/>
        </w:rPr>
        <w:t>, 8809–8818.</w:t>
      </w:r>
    </w:p>
    <w:p w14:paraId="4728DDE4"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Kohara and P. S. Salmon, </w:t>
      </w:r>
      <w:r w:rsidRPr="002C1A46">
        <w:rPr>
          <w:rFonts w:ascii="Times New Roman" w:hAnsi="Times New Roman" w:cs="Times New Roman"/>
          <w:i/>
          <w:iCs/>
          <w:sz w:val="18"/>
          <w:szCs w:val="18"/>
          <w:lang w:eastAsia="ja-JP"/>
        </w:rPr>
        <w:t>Adv. Phys.: X</w:t>
      </w:r>
      <w:r w:rsidRPr="002C1A46">
        <w:rPr>
          <w:rFonts w:ascii="Times New Roman" w:hAnsi="Times New Roman" w:cs="Times New Roman"/>
          <w:sz w:val="18"/>
          <w:szCs w:val="18"/>
          <w:lang w:eastAsia="ja-JP"/>
        </w:rPr>
        <w:t xml:space="preserve">, 2016, </w:t>
      </w:r>
      <w:r w:rsidRPr="002C1A46">
        <w:rPr>
          <w:rFonts w:ascii="Times New Roman" w:hAnsi="Times New Roman" w:cs="Times New Roman"/>
          <w:b/>
          <w:bCs/>
          <w:sz w:val="18"/>
          <w:szCs w:val="18"/>
          <w:lang w:eastAsia="ja-JP"/>
        </w:rPr>
        <w:t>1</w:t>
      </w:r>
      <w:r w:rsidRPr="002C1A46">
        <w:rPr>
          <w:rFonts w:ascii="Times New Roman" w:hAnsi="Times New Roman" w:cs="Times New Roman"/>
          <w:sz w:val="18"/>
          <w:szCs w:val="18"/>
          <w:lang w:eastAsia="ja-JP"/>
        </w:rPr>
        <w:t>, 640–660.</w:t>
      </w:r>
    </w:p>
    <w:p w14:paraId="05D54415"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Kohara, </w:t>
      </w:r>
      <w:r w:rsidRPr="002C1A46">
        <w:rPr>
          <w:rFonts w:ascii="Times New Roman" w:hAnsi="Times New Roman" w:cs="Times New Roman"/>
          <w:i/>
          <w:iCs/>
          <w:sz w:val="18"/>
          <w:szCs w:val="18"/>
          <w:lang w:eastAsia="ja-JP"/>
        </w:rPr>
        <w:t xml:space="preserve">J. Ceram. Soc. </w:t>
      </w:r>
      <w:proofErr w:type="spellStart"/>
      <w:r w:rsidRPr="002C1A46">
        <w:rPr>
          <w:rFonts w:ascii="Times New Roman" w:hAnsi="Times New Roman" w:cs="Times New Roman"/>
          <w:i/>
          <w:iCs/>
          <w:sz w:val="18"/>
          <w:szCs w:val="18"/>
          <w:lang w:eastAsia="ja-JP"/>
        </w:rPr>
        <w:t>Jpn</w:t>
      </w:r>
      <w:proofErr w:type="spellEnd"/>
      <w:r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2017, </w:t>
      </w:r>
      <w:r w:rsidRPr="002C1A46">
        <w:rPr>
          <w:rFonts w:ascii="Times New Roman" w:hAnsi="Times New Roman" w:cs="Times New Roman"/>
          <w:b/>
          <w:bCs/>
          <w:sz w:val="18"/>
          <w:szCs w:val="18"/>
          <w:lang w:eastAsia="ja-JP"/>
        </w:rPr>
        <w:t>125</w:t>
      </w:r>
      <w:r w:rsidRPr="002C1A46">
        <w:rPr>
          <w:rFonts w:ascii="Times New Roman" w:hAnsi="Times New Roman" w:cs="Times New Roman"/>
          <w:sz w:val="18"/>
          <w:szCs w:val="18"/>
          <w:lang w:eastAsia="ja-JP"/>
        </w:rPr>
        <w:t>, 799–807.</w:t>
      </w:r>
    </w:p>
    <w:p w14:paraId="61A17B58"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Le Roux and P. Jund., </w:t>
      </w:r>
      <w:proofErr w:type="spellStart"/>
      <w:r w:rsidRPr="002C1A46">
        <w:rPr>
          <w:rFonts w:ascii="Times New Roman" w:hAnsi="Times New Roman" w:cs="Times New Roman"/>
          <w:i/>
          <w:iCs/>
          <w:sz w:val="18"/>
          <w:szCs w:val="18"/>
          <w:lang w:eastAsia="ja-JP"/>
        </w:rPr>
        <w:t>Comput</w:t>
      </w:r>
      <w:proofErr w:type="spellEnd"/>
      <w:r w:rsidRPr="002C1A46">
        <w:rPr>
          <w:rFonts w:ascii="Times New Roman" w:hAnsi="Times New Roman" w:cs="Times New Roman"/>
          <w:i/>
          <w:iCs/>
          <w:sz w:val="18"/>
          <w:szCs w:val="18"/>
          <w:lang w:eastAsia="ja-JP"/>
        </w:rPr>
        <w:t>. Mater. Sci.</w:t>
      </w:r>
      <w:r w:rsidRPr="002C1A46">
        <w:rPr>
          <w:rFonts w:ascii="Times New Roman" w:hAnsi="Times New Roman" w:cs="Times New Roman"/>
          <w:sz w:val="18"/>
          <w:szCs w:val="18"/>
          <w:lang w:eastAsia="ja-JP"/>
        </w:rPr>
        <w:t xml:space="preserve">, 2010, </w:t>
      </w:r>
      <w:r w:rsidRPr="002C1A46">
        <w:rPr>
          <w:rFonts w:ascii="Times New Roman" w:hAnsi="Times New Roman" w:cs="Times New Roman"/>
          <w:b/>
          <w:bCs/>
          <w:sz w:val="18"/>
          <w:szCs w:val="18"/>
          <w:lang w:eastAsia="ja-JP"/>
        </w:rPr>
        <w:t>49</w:t>
      </w:r>
      <w:r w:rsidRPr="002C1A46">
        <w:rPr>
          <w:rFonts w:ascii="Times New Roman" w:hAnsi="Times New Roman" w:cs="Times New Roman"/>
          <w:sz w:val="18"/>
          <w:szCs w:val="18"/>
          <w:lang w:eastAsia="ja-JP"/>
        </w:rPr>
        <w:t>, 70–83.</w:t>
      </w:r>
    </w:p>
    <w:p w14:paraId="0B05D52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I. Heimbach, F. Rhiem, F. Beule, D. Knodt, J. Heinen and R. O. Jones, </w:t>
      </w:r>
      <w:r w:rsidRPr="002C1A46">
        <w:rPr>
          <w:rFonts w:ascii="Times New Roman" w:hAnsi="Times New Roman" w:cs="Times New Roman"/>
          <w:i/>
          <w:iCs/>
          <w:sz w:val="18"/>
          <w:szCs w:val="18"/>
          <w:lang w:eastAsia="ja-JP"/>
        </w:rPr>
        <w:t xml:space="preserve">J. </w:t>
      </w:r>
      <w:proofErr w:type="spellStart"/>
      <w:r w:rsidRPr="002C1A46">
        <w:rPr>
          <w:rFonts w:ascii="Times New Roman" w:hAnsi="Times New Roman" w:cs="Times New Roman"/>
          <w:i/>
          <w:iCs/>
          <w:sz w:val="18"/>
          <w:szCs w:val="18"/>
          <w:lang w:eastAsia="ja-JP"/>
        </w:rPr>
        <w:t>Comput</w:t>
      </w:r>
      <w:proofErr w:type="spellEnd"/>
      <w:r w:rsidRPr="002C1A46">
        <w:rPr>
          <w:rFonts w:ascii="Times New Roman" w:hAnsi="Times New Roman" w:cs="Times New Roman"/>
          <w:i/>
          <w:iCs/>
          <w:sz w:val="18"/>
          <w:szCs w:val="18"/>
          <w:lang w:eastAsia="ja-JP"/>
        </w:rPr>
        <w:t>. Chem.</w:t>
      </w:r>
      <w:r w:rsidRPr="002C1A46">
        <w:rPr>
          <w:rFonts w:ascii="Times New Roman" w:hAnsi="Times New Roman" w:cs="Times New Roman"/>
          <w:sz w:val="18"/>
          <w:szCs w:val="18"/>
          <w:lang w:eastAsia="ja-JP"/>
        </w:rPr>
        <w:t xml:space="preserve">, 2017, </w:t>
      </w:r>
      <w:r w:rsidRPr="002C1A46">
        <w:rPr>
          <w:rFonts w:ascii="Times New Roman" w:hAnsi="Times New Roman" w:cs="Times New Roman"/>
          <w:b/>
          <w:bCs/>
          <w:sz w:val="18"/>
          <w:szCs w:val="18"/>
          <w:lang w:eastAsia="ja-JP"/>
        </w:rPr>
        <w:t>38</w:t>
      </w:r>
      <w:r w:rsidRPr="002C1A46">
        <w:rPr>
          <w:rFonts w:ascii="Times New Roman" w:hAnsi="Times New Roman" w:cs="Times New Roman"/>
          <w:sz w:val="18"/>
          <w:szCs w:val="18"/>
          <w:lang w:eastAsia="ja-JP"/>
        </w:rPr>
        <w:t>, 389–394.</w:t>
      </w:r>
    </w:p>
    <w:p w14:paraId="79CE3DFC"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Kohara and L. Pusztai, in </w:t>
      </w:r>
      <w:r w:rsidRPr="002C1A46">
        <w:rPr>
          <w:rFonts w:ascii="Times New Roman" w:hAnsi="Times New Roman" w:cs="Times New Roman"/>
          <w:i/>
          <w:iCs/>
          <w:sz w:val="18"/>
          <w:szCs w:val="18"/>
          <w:lang w:eastAsia="ja-JP"/>
        </w:rPr>
        <w:t>Computer Simulations of Glasses: Methodologies and Applications</w:t>
      </w:r>
      <w:r w:rsidRPr="002C1A46">
        <w:rPr>
          <w:rFonts w:ascii="Times New Roman" w:hAnsi="Times New Roman" w:cs="Times New Roman"/>
          <w:sz w:val="18"/>
          <w:szCs w:val="18"/>
          <w:lang w:eastAsia="ja-JP"/>
        </w:rPr>
        <w:t>, ed. J. Du and A. N. Cormack, Wiley-American Ceramic Society, Hoboken, 2022, pp. 60–88.</w:t>
      </w:r>
    </w:p>
    <w:p w14:paraId="782CD51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Y. Onodera, Y. Takimoto, H. </w:t>
      </w:r>
      <w:proofErr w:type="spellStart"/>
      <w:r w:rsidRPr="002C1A46">
        <w:rPr>
          <w:rFonts w:ascii="Times New Roman" w:hAnsi="Times New Roman" w:cs="Times New Roman"/>
          <w:sz w:val="18"/>
          <w:szCs w:val="18"/>
          <w:lang w:eastAsia="ja-JP"/>
        </w:rPr>
        <w:t>Hijiya</w:t>
      </w:r>
      <w:proofErr w:type="spellEnd"/>
      <w:r w:rsidRPr="002C1A46">
        <w:rPr>
          <w:rFonts w:ascii="Times New Roman" w:hAnsi="Times New Roman" w:cs="Times New Roman"/>
          <w:sz w:val="18"/>
          <w:szCs w:val="18"/>
          <w:lang w:eastAsia="ja-JP"/>
        </w:rPr>
        <w:t xml:space="preserve">, T. Taniguchi, S. Urata, S. Inaba, S. Fujita, I. Obayashi, Y. Hiraoka and S. Kohara, </w:t>
      </w:r>
      <w:r w:rsidRPr="002C1A46">
        <w:rPr>
          <w:rFonts w:ascii="Times New Roman" w:hAnsi="Times New Roman" w:cs="Times New Roman"/>
          <w:i/>
          <w:iCs/>
          <w:sz w:val="18"/>
          <w:szCs w:val="18"/>
          <w:lang w:eastAsia="ja-JP"/>
        </w:rPr>
        <w:t>NPG Asia Mater.</w:t>
      </w:r>
      <w:r w:rsidRPr="002C1A46">
        <w:rPr>
          <w:rFonts w:ascii="Times New Roman" w:hAnsi="Times New Roman" w:cs="Times New Roman"/>
          <w:sz w:val="18"/>
          <w:szCs w:val="18"/>
          <w:lang w:eastAsia="ja-JP"/>
        </w:rPr>
        <w:t xml:space="preserve">, 2019, </w:t>
      </w:r>
      <w:r w:rsidRPr="002C1A46">
        <w:rPr>
          <w:rFonts w:ascii="Times New Roman" w:hAnsi="Times New Roman" w:cs="Times New Roman"/>
          <w:b/>
          <w:bCs/>
          <w:sz w:val="18"/>
          <w:szCs w:val="18"/>
          <w:lang w:eastAsia="ja-JP"/>
        </w:rPr>
        <w:t>11</w:t>
      </w:r>
      <w:r w:rsidRPr="002C1A46">
        <w:rPr>
          <w:rFonts w:ascii="Times New Roman" w:hAnsi="Times New Roman" w:cs="Times New Roman"/>
          <w:sz w:val="18"/>
          <w:szCs w:val="18"/>
          <w:lang w:eastAsia="ja-JP"/>
        </w:rPr>
        <w:t>, 75.</w:t>
      </w:r>
    </w:p>
    <w:p w14:paraId="368E2609" w14:textId="0CCBFDB2" w:rsidR="00B74C4C" w:rsidRPr="002C1A46" w:rsidRDefault="00B74C4C"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K. Meyer, A. Barz and D. Stachel,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1995, </w:t>
      </w:r>
      <w:r w:rsidRPr="002C1A46">
        <w:rPr>
          <w:rFonts w:ascii="Times New Roman" w:hAnsi="Times New Roman" w:cs="Times New Roman"/>
          <w:b/>
          <w:bCs/>
          <w:sz w:val="18"/>
          <w:szCs w:val="18"/>
          <w:lang w:eastAsia="ja-JP"/>
        </w:rPr>
        <w:t>191</w:t>
      </w:r>
      <w:r w:rsidRPr="002C1A46">
        <w:rPr>
          <w:rFonts w:ascii="Times New Roman" w:hAnsi="Times New Roman" w:cs="Times New Roman"/>
          <w:sz w:val="18"/>
          <w:szCs w:val="18"/>
          <w:lang w:eastAsia="ja-JP"/>
        </w:rPr>
        <w:t>, 71–78.</w:t>
      </w:r>
    </w:p>
    <w:p w14:paraId="6AF6FC5D"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rPr>
        <w:t xml:space="preserve">T. E. Faber and J. M. Ziman, </w:t>
      </w:r>
      <w:r w:rsidRPr="002C1A46">
        <w:rPr>
          <w:rFonts w:ascii="Times New Roman" w:hAnsi="Times New Roman" w:cs="Times New Roman"/>
          <w:i/>
          <w:iCs/>
          <w:sz w:val="18"/>
          <w:szCs w:val="18"/>
        </w:rPr>
        <w:t>Phil. Mag.</w:t>
      </w:r>
      <w:r w:rsidRPr="002C1A46">
        <w:rPr>
          <w:rFonts w:ascii="Times New Roman" w:hAnsi="Times New Roman" w:cs="Times New Roman"/>
          <w:sz w:val="18"/>
          <w:szCs w:val="18"/>
        </w:rPr>
        <w:t xml:space="preserve">, 1965, </w:t>
      </w:r>
      <w:r w:rsidRPr="002C1A46">
        <w:rPr>
          <w:rFonts w:ascii="Times New Roman" w:hAnsi="Times New Roman" w:cs="Times New Roman"/>
          <w:b/>
          <w:bCs/>
          <w:sz w:val="18"/>
          <w:szCs w:val="18"/>
        </w:rPr>
        <w:t>11</w:t>
      </w:r>
      <w:r w:rsidRPr="002C1A46">
        <w:rPr>
          <w:rFonts w:ascii="Times New Roman" w:hAnsi="Times New Roman" w:cs="Times New Roman"/>
          <w:sz w:val="18"/>
          <w:szCs w:val="18"/>
        </w:rPr>
        <w:t>, 153–173.</w:t>
      </w:r>
    </w:p>
    <w:p w14:paraId="203C5A1F"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A. B. Bhatia and D. E. Thornton, </w:t>
      </w:r>
      <w:r w:rsidRPr="002C1A46">
        <w:rPr>
          <w:rFonts w:ascii="Times New Roman" w:hAnsi="Times New Roman" w:cs="Times New Roman"/>
          <w:i/>
          <w:iCs/>
          <w:sz w:val="18"/>
          <w:szCs w:val="18"/>
          <w:lang w:eastAsia="ja-JP"/>
        </w:rPr>
        <w:t>Phys. Rev. B</w:t>
      </w:r>
      <w:r w:rsidRPr="002C1A46">
        <w:rPr>
          <w:rFonts w:ascii="Times New Roman" w:hAnsi="Times New Roman" w:cs="Times New Roman"/>
          <w:sz w:val="18"/>
          <w:szCs w:val="18"/>
          <w:lang w:eastAsia="ja-JP"/>
        </w:rPr>
        <w:t xml:space="preserve">, 1970, </w:t>
      </w:r>
      <w:r w:rsidRPr="002C1A46">
        <w:rPr>
          <w:rFonts w:ascii="Times New Roman" w:hAnsi="Times New Roman" w:cs="Times New Roman"/>
          <w:b/>
          <w:bCs/>
          <w:sz w:val="18"/>
          <w:szCs w:val="18"/>
          <w:lang w:eastAsia="ja-JP"/>
        </w:rPr>
        <w:t>2</w:t>
      </w:r>
      <w:r w:rsidRPr="002C1A46">
        <w:rPr>
          <w:rFonts w:ascii="Times New Roman" w:hAnsi="Times New Roman" w:cs="Times New Roman"/>
          <w:sz w:val="18"/>
          <w:szCs w:val="18"/>
          <w:lang w:eastAsia="ja-JP"/>
        </w:rPr>
        <w:t>, 3004.</w:t>
      </w:r>
    </w:p>
    <w:p w14:paraId="465A251D"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S. Salmon, </w:t>
      </w:r>
      <w:r w:rsidRPr="002C1A46">
        <w:rPr>
          <w:rFonts w:ascii="Times New Roman" w:hAnsi="Times New Roman" w:cs="Times New Roman"/>
          <w:i/>
          <w:iCs/>
          <w:sz w:val="18"/>
          <w:szCs w:val="18"/>
          <w:lang w:eastAsia="ja-JP"/>
        </w:rPr>
        <w:t>Proc. R. Soc. Lond. A</w:t>
      </w:r>
      <w:r w:rsidRPr="002C1A46">
        <w:rPr>
          <w:rFonts w:ascii="Times New Roman" w:hAnsi="Times New Roman" w:cs="Times New Roman"/>
          <w:sz w:val="18"/>
          <w:szCs w:val="18"/>
          <w:lang w:eastAsia="ja-JP"/>
        </w:rPr>
        <w:t xml:space="preserve">, 1992, </w:t>
      </w:r>
      <w:r w:rsidRPr="002C1A46">
        <w:rPr>
          <w:rFonts w:ascii="Times New Roman" w:hAnsi="Times New Roman" w:cs="Times New Roman"/>
          <w:b/>
          <w:bCs/>
          <w:sz w:val="18"/>
          <w:szCs w:val="18"/>
          <w:lang w:eastAsia="ja-JP"/>
        </w:rPr>
        <w:t>437</w:t>
      </w:r>
      <w:r w:rsidRPr="002C1A46">
        <w:rPr>
          <w:rFonts w:ascii="Times New Roman" w:hAnsi="Times New Roman" w:cs="Times New Roman"/>
          <w:sz w:val="18"/>
          <w:szCs w:val="18"/>
          <w:lang w:eastAsia="ja-JP"/>
        </w:rPr>
        <w:t>, 591–606.</w:t>
      </w:r>
    </w:p>
    <w:p w14:paraId="0B4E98D0"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S. Salmon, </w:t>
      </w:r>
      <w:r w:rsidRPr="002C1A46">
        <w:rPr>
          <w:rFonts w:ascii="Times New Roman" w:hAnsi="Times New Roman" w:cs="Times New Roman"/>
          <w:i/>
          <w:iCs/>
          <w:sz w:val="18"/>
          <w:szCs w:val="18"/>
          <w:lang w:eastAsia="ja-JP"/>
        </w:rPr>
        <w:t xml:space="preserve">J. Phys.: </w:t>
      </w:r>
      <w:proofErr w:type="spellStart"/>
      <w:r w:rsidRPr="002C1A46">
        <w:rPr>
          <w:rFonts w:ascii="Times New Roman" w:hAnsi="Times New Roman" w:cs="Times New Roman"/>
          <w:i/>
          <w:iCs/>
          <w:sz w:val="18"/>
          <w:szCs w:val="18"/>
          <w:lang w:eastAsia="ja-JP"/>
        </w:rPr>
        <w:t>Condens</w:t>
      </w:r>
      <w:proofErr w:type="spellEnd"/>
      <w:r w:rsidRPr="002C1A46">
        <w:rPr>
          <w:rFonts w:ascii="Times New Roman" w:hAnsi="Times New Roman" w:cs="Times New Roman"/>
          <w:i/>
          <w:iCs/>
          <w:sz w:val="18"/>
          <w:szCs w:val="18"/>
          <w:lang w:eastAsia="ja-JP"/>
        </w:rPr>
        <w:t>. Matter</w:t>
      </w:r>
      <w:r w:rsidRPr="002C1A46">
        <w:rPr>
          <w:rFonts w:ascii="Times New Roman" w:hAnsi="Times New Roman" w:cs="Times New Roman"/>
          <w:sz w:val="18"/>
          <w:szCs w:val="18"/>
          <w:lang w:eastAsia="ja-JP"/>
        </w:rPr>
        <w:t xml:space="preserve">, 2007, </w:t>
      </w:r>
      <w:r w:rsidRPr="002C1A46">
        <w:rPr>
          <w:rFonts w:ascii="Times New Roman" w:hAnsi="Times New Roman" w:cs="Times New Roman"/>
          <w:b/>
          <w:bCs/>
          <w:sz w:val="18"/>
          <w:szCs w:val="18"/>
          <w:lang w:eastAsia="ja-JP"/>
        </w:rPr>
        <w:t>19</w:t>
      </w:r>
      <w:r w:rsidRPr="002C1A46">
        <w:rPr>
          <w:rFonts w:ascii="Times New Roman" w:hAnsi="Times New Roman" w:cs="Times New Roman"/>
          <w:sz w:val="18"/>
          <w:szCs w:val="18"/>
          <w:lang w:eastAsia="ja-JP"/>
        </w:rPr>
        <w:t>, 455208.</w:t>
      </w:r>
    </w:p>
    <w:p w14:paraId="61491DC8"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Plimpton, </w:t>
      </w:r>
      <w:r w:rsidRPr="002C1A46">
        <w:rPr>
          <w:rFonts w:ascii="Times New Roman" w:hAnsi="Times New Roman" w:cs="Times New Roman"/>
          <w:i/>
          <w:iCs/>
          <w:sz w:val="18"/>
          <w:szCs w:val="18"/>
          <w:lang w:eastAsia="ja-JP"/>
        </w:rPr>
        <w:t xml:space="preserve">J. </w:t>
      </w:r>
      <w:proofErr w:type="spellStart"/>
      <w:r w:rsidRPr="002C1A46">
        <w:rPr>
          <w:rFonts w:ascii="Times New Roman" w:hAnsi="Times New Roman" w:cs="Times New Roman"/>
          <w:i/>
          <w:iCs/>
          <w:sz w:val="18"/>
          <w:szCs w:val="18"/>
          <w:lang w:eastAsia="ja-JP"/>
        </w:rPr>
        <w:t>Comput</w:t>
      </w:r>
      <w:proofErr w:type="spellEnd"/>
      <w:r w:rsidRPr="002C1A46">
        <w:rPr>
          <w:rFonts w:ascii="Times New Roman" w:hAnsi="Times New Roman" w:cs="Times New Roman"/>
          <w:i/>
          <w:iCs/>
          <w:sz w:val="18"/>
          <w:szCs w:val="18"/>
          <w:lang w:eastAsia="ja-JP"/>
        </w:rPr>
        <w:t>. Phys.</w:t>
      </w:r>
      <w:r w:rsidRPr="002C1A46">
        <w:rPr>
          <w:rFonts w:ascii="Times New Roman" w:hAnsi="Times New Roman" w:cs="Times New Roman"/>
          <w:sz w:val="18"/>
          <w:szCs w:val="18"/>
          <w:lang w:eastAsia="ja-JP"/>
        </w:rPr>
        <w:t xml:space="preserve">, 1995, </w:t>
      </w:r>
      <w:r w:rsidRPr="002C1A46">
        <w:rPr>
          <w:rFonts w:ascii="Times New Roman" w:hAnsi="Times New Roman" w:cs="Times New Roman"/>
          <w:b/>
          <w:bCs/>
          <w:sz w:val="18"/>
          <w:szCs w:val="18"/>
          <w:lang w:eastAsia="ja-JP"/>
        </w:rPr>
        <w:t>117</w:t>
      </w:r>
      <w:r w:rsidRPr="002C1A46">
        <w:rPr>
          <w:rFonts w:ascii="Times New Roman" w:hAnsi="Times New Roman" w:cs="Times New Roman"/>
          <w:sz w:val="18"/>
          <w:szCs w:val="18"/>
          <w:lang w:eastAsia="ja-JP"/>
        </w:rPr>
        <w:t>, 1–19.</w:t>
      </w:r>
    </w:p>
    <w:p w14:paraId="4D0860AA"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O. Gereben, P. </w:t>
      </w:r>
      <w:proofErr w:type="spellStart"/>
      <w:r w:rsidRPr="002C1A46">
        <w:rPr>
          <w:rFonts w:ascii="Times New Roman" w:hAnsi="Times New Roman" w:cs="Times New Roman"/>
          <w:sz w:val="18"/>
          <w:szCs w:val="18"/>
          <w:lang w:eastAsia="ja-JP"/>
        </w:rPr>
        <w:t>Jóvári</w:t>
      </w:r>
      <w:proofErr w:type="spellEnd"/>
      <w:r w:rsidRPr="002C1A46">
        <w:rPr>
          <w:rFonts w:ascii="Times New Roman" w:hAnsi="Times New Roman" w:cs="Times New Roman"/>
          <w:sz w:val="18"/>
          <w:szCs w:val="18"/>
          <w:lang w:eastAsia="ja-JP"/>
        </w:rPr>
        <w:t xml:space="preserve">, L. </w:t>
      </w:r>
      <w:proofErr w:type="spellStart"/>
      <w:r w:rsidRPr="002C1A46">
        <w:rPr>
          <w:rFonts w:ascii="Times New Roman" w:hAnsi="Times New Roman" w:cs="Times New Roman"/>
          <w:sz w:val="18"/>
          <w:szCs w:val="18"/>
          <w:lang w:eastAsia="ja-JP"/>
        </w:rPr>
        <w:t>Temleitner</w:t>
      </w:r>
      <w:proofErr w:type="spellEnd"/>
      <w:r w:rsidRPr="002C1A46">
        <w:rPr>
          <w:rFonts w:ascii="Times New Roman" w:hAnsi="Times New Roman" w:cs="Times New Roman"/>
          <w:sz w:val="18"/>
          <w:szCs w:val="18"/>
          <w:lang w:eastAsia="ja-JP"/>
        </w:rPr>
        <w:t xml:space="preserve"> and L. Pusztai, </w:t>
      </w:r>
      <w:r w:rsidRPr="002C1A46">
        <w:rPr>
          <w:rFonts w:ascii="Times New Roman" w:hAnsi="Times New Roman" w:cs="Times New Roman"/>
          <w:i/>
          <w:iCs/>
          <w:sz w:val="18"/>
          <w:szCs w:val="18"/>
          <w:lang w:eastAsia="ja-JP"/>
        </w:rPr>
        <w:t xml:space="preserve">J. </w:t>
      </w:r>
      <w:proofErr w:type="spellStart"/>
      <w:r w:rsidRPr="002C1A46">
        <w:rPr>
          <w:rFonts w:ascii="Times New Roman" w:hAnsi="Times New Roman" w:cs="Times New Roman"/>
          <w:i/>
          <w:iCs/>
          <w:sz w:val="18"/>
          <w:szCs w:val="18"/>
          <w:lang w:eastAsia="ja-JP"/>
        </w:rPr>
        <w:t>Optelectron</w:t>
      </w:r>
      <w:proofErr w:type="spellEnd"/>
      <w:r w:rsidRPr="002C1A46">
        <w:rPr>
          <w:rFonts w:ascii="Times New Roman" w:hAnsi="Times New Roman" w:cs="Times New Roman"/>
          <w:i/>
          <w:iCs/>
          <w:sz w:val="18"/>
          <w:szCs w:val="18"/>
          <w:lang w:eastAsia="ja-JP"/>
        </w:rPr>
        <w:t>. Adv. Mater.</w:t>
      </w:r>
      <w:r w:rsidRPr="002C1A46">
        <w:rPr>
          <w:rFonts w:ascii="Times New Roman" w:hAnsi="Times New Roman" w:cs="Times New Roman"/>
          <w:sz w:val="18"/>
          <w:szCs w:val="18"/>
          <w:lang w:eastAsia="ja-JP"/>
        </w:rPr>
        <w:t xml:space="preserve">, 2007, </w:t>
      </w:r>
      <w:r w:rsidRPr="002C1A46">
        <w:rPr>
          <w:rFonts w:ascii="Times New Roman" w:hAnsi="Times New Roman" w:cs="Times New Roman"/>
          <w:b/>
          <w:bCs/>
          <w:sz w:val="18"/>
          <w:szCs w:val="18"/>
          <w:lang w:eastAsia="ja-JP"/>
        </w:rPr>
        <w:t>9</w:t>
      </w:r>
      <w:r w:rsidRPr="002C1A46">
        <w:rPr>
          <w:rFonts w:ascii="Times New Roman" w:hAnsi="Times New Roman" w:cs="Times New Roman"/>
          <w:sz w:val="18"/>
          <w:szCs w:val="18"/>
          <w:lang w:eastAsia="ja-JP"/>
        </w:rPr>
        <w:t>, 3021–3027.</w:t>
      </w:r>
    </w:p>
    <w:p w14:paraId="55713FE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G. Evrard and L. Pusztai, </w:t>
      </w:r>
      <w:r w:rsidRPr="002C1A46">
        <w:rPr>
          <w:rFonts w:ascii="Times New Roman" w:hAnsi="Times New Roman" w:cs="Times New Roman"/>
          <w:i/>
          <w:iCs/>
          <w:sz w:val="18"/>
          <w:szCs w:val="18"/>
          <w:lang w:eastAsia="ja-JP"/>
        </w:rPr>
        <w:t xml:space="preserve">J. Phys. </w:t>
      </w:r>
      <w:proofErr w:type="spellStart"/>
      <w:r w:rsidRPr="002C1A46">
        <w:rPr>
          <w:rFonts w:ascii="Times New Roman" w:hAnsi="Times New Roman" w:cs="Times New Roman"/>
          <w:i/>
          <w:iCs/>
          <w:sz w:val="18"/>
          <w:szCs w:val="18"/>
          <w:lang w:eastAsia="ja-JP"/>
        </w:rPr>
        <w:t>Condens</w:t>
      </w:r>
      <w:proofErr w:type="spellEnd"/>
      <w:r w:rsidRPr="002C1A46">
        <w:rPr>
          <w:rFonts w:ascii="Times New Roman" w:hAnsi="Times New Roman" w:cs="Times New Roman"/>
          <w:i/>
          <w:iCs/>
          <w:sz w:val="18"/>
          <w:szCs w:val="18"/>
          <w:lang w:eastAsia="ja-JP"/>
        </w:rPr>
        <w:t>. Matter</w:t>
      </w:r>
      <w:r w:rsidRPr="002C1A46">
        <w:rPr>
          <w:rFonts w:ascii="Times New Roman" w:hAnsi="Times New Roman" w:cs="Times New Roman"/>
          <w:sz w:val="18"/>
          <w:szCs w:val="18"/>
          <w:lang w:eastAsia="ja-JP"/>
        </w:rPr>
        <w:t xml:space="preserve">, 2005, </w:t>
      </w:r>
      <w:r w:rsidRPr="002C1A46">
        <w:rPr>
          <w:rFonts w:ascii="Times New Roman" w:hAnsi="Times New Roman" w:cs="Times New Roman"/>
          <w:b/>
          <w:bCs/>
          <w:sz w:val="18"/>
          <w:szCs w:val="18"/>
          <w:lang w:eastAsia="ja-JP"/>
        </w:rPr>
        <w:t>17</w:t>
      </w:r>
      <w:r w:rsidRPr="002C1A46">
        <w:rPr>
          <w:rFonts w:ascii="Times New Roman" w:hAnsi="Times New Roman" w:cs="Times New Roman"/>
          <w:sz w:val="18"/>
          <w:szCs w:val="18"/>
          <w:lang w:eastAsia="ja-JP"/>
        </w:rPr>
        <w:t>, S1–S13.</w:t>
      </w:r>
    </w:p>
    <w:p w14:paraId="74ACB10B"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E. B. Clark, R. N. Mead and G. Mountjoy, </w:t>
      </w:r>
      <w:r w:rsidRPr="002C1A46">
        <w:rPr>
          <w:rFonts w:ascii="Times New Roman" w:hAnsi="Times New Roman" w:cs="Times New Roman"/>
          <w:i/>
          <w:iCs/>
          <w:sz w:val="18"/>
          <w:szCs w:val="18"/>
          <w:lang w:eastAsia="ja-JP"/>
        </w:rPr>
        <w:t xml:space="preserve">J. Phys.: </w:t>
      </w:r>
      <w:proofErr w:type="spellStart"/>
      <w:r w:rsidRPr="002C1A46">
        <w:rPr>
          <w:rFonts w:ascii="Times New Roman" w:hAnsi="Times New Roman" w:cs="Times New Roman"/>
          <w:i/>
          <w:iCs/>
          <w:sz w:val="18"/>
          <w:szCs w:val="18"/>
          <w:lang w:eastAsia="ja-JP"/>
        </w:rPr>
        <w:t>Condens</w:t>
      </w:r>
      <w:proofErr w:type="spellEnd"/>
      <w:r w:rsidRPr="002C1A46">
        <w:rPr>
          <w:rFonts w:ascii="Times New Roman" w:hAnsi="Times New Roman" w:cs="Times New Roman"/>
          <w:i/>
          <w:iCs/>
          <w:sz w:val="18"/>
          <w:szCs w:val="18"/>
          <w:lang w:eastAsia="ja-JP"/>
        </w:rPr>
        <w:t>. Matter</w:t>
      </w:r>
      <w:r w:rsidRPr="002C1A46">
        <w:rPr>
          <w:rFonts w:ascii="Times New Roman" w:hAnsi="Times New Roman" w:cs="Times New Roman"/>
          <w:sz w:val="18"/>
          <w:szCs w:val="18"/>
          <w:lang w:eastAsia="ja-JP"/>
        </w:rPr>
        <w:t xml:space="preserve">, 2006, </w:t>
      </w:r>
      <w:r w:rsidRPr="002C1A46">
        <w:rPr>
          <w:rFonts w:ascii="Times New Roman" w:hAnsi="Times New Roman" w:cs="Times New Roman"/>
          <w:b/>
          <w:bCs/>
          <w:sz w:val="18"/>
          <w:szCs w:val="18"/>
          <w:lang w:eastAsia="ja-JP"/>
        </w:rPr>
        <w:t>18</w:t>
      </w:r>
      <w:r w:rsidRPr="002C1A46">
        <w:rPr>
          <w:rFonts w:ascii="Times New Roman" w:hAnsi="Times New Roman" w:cs="Times New Roman"/>
          <w:sz w:val="18"/>
          <w:szCs w:val="18"/>
          <w:lang w:eastAsia="ja-JP"/>
        </w:rPr>
        <w:t>, 6815.</w:t>
      </w:r>
    </w:p>
    <w:p w14:paraId="2010DB13"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Y. Onodera, S. Kohara, P. S. Salmon, A. Hirata, N. Nishiyama, S. Kitani, A. Zeidler, M. Shiga, A. </w:t>
      </w:r>
      <w:proofErr w:type="spellStart"/>
      <w:r w:rsidRPr="002C1A46">
        <w:rPr>
          <w:rFonts w:ascii="Times New Roman" w:hAnsi="Times New Roman" w:cs="Times New Roman"/>
          <w:sz w:val="18"/>
          <w:szCs w:val="18"/>
          <w:lang w:eastAsia="ja-JP"/>
        </w:rPr>
        <w:t>Masuno</w:t>
      </w:r>
      <w:proofErr w:type="spellEnd"/>
      <w:r w:rsidRPr="002C1A46">
        <w:rPr>
          <w:rFonts w:ascii="Times New Roman" w:hAnsi="Times New Roman" w:cs="Times New Roman"/>
          <w:sz w:val="18"/>
          <w:szCs w:val="18"/>
          <w:lang w:eastAsia="ja-JP"/>
        </w:rPr>
        <w:t xml:space="preserve">, H. Inoue, S. </w:t>
      </w:r>
      <w:proofErr w:type="spellStart"/>
      <w:r w:rsidRPr="002C1A46">
        <w:rPr>
          <w:rFonts w:ascii="Times New Roman" w:hAnsi="Times New Roman" w:cs="Times New Roman"/>
          <w:sz w:val="18"/>
          <w:szCs w:val="18"/>
          <w:lang w:eastAsia="ja-JP"/>
        </w:rPr>
        <w:t>Tahara</w:t>
      </w:r>
      <w:proofErr w:type="spellEnd"/>
      <w:r w:rsidRPr="002C1A46">
        <w:rPr>
          <w:rFonts w:ascii="Times New Roman" w:hAnsi="Times New Roman" w:cs="Times New Roman"/>
          <w:sz w:val="18"/>
          <w:szCs w:val="18"/>
          <w:lang w:eastAsia="ja-JP"/>
        </w:rPr>
        <w:t xml:space="preserve">, A. Polidori, H. E. Fischer, T. Mori, S. Kojima, H. </w:t>
      </w:r>
      <w:proofErr w:type="spellStart"/>
      <w:r w:rsidRPr="002C1A46">
        <w:rPr>
          <w:rFonts w:ascii="Times New Roman" w:hAnsi="Times New Roman" w:cs="Times New Roman"/>
          <w:sz w:val="18"/>
          <w:szCs w:val="18"/>
          <w:lang w:eastAsia="ja-JP"/>
        </w:rPr>
        <w:t>Kawaji</w:t>
      </w:r>
      <w:proofErr w:type="spellEnd"/>
      <w:r w:rsidRPr="002C1A46">
        <w:rPr>
          <w:rFonts w:ascii="Times New Roman" w:hAnsi="Times New Roman" w:cs="Times New Roman"/>
          <w:sz w:val="18"/>
          <w:szCs w:val="18"/>
          <w:lang w:eastAsia="ja-JP"/>
        </w:rPr>
        <w:t xml:space="preserve">, A. I. Kolesnikov, M. B. Stone, M. G. Tucker, M. T. McDonnell, A. C. Hanon, Y. Hiraoka, I. Obayashi, T. Nakamura, J. Akola, Y. Fujii, K. Ohara, T. Taniguchi and O. Sakata, </w:t>
      </w:r>
      <w:r w:rsidRPr="002C1A46">
        <w:rPr>
          <w:rFonts w:ascii="Times New Roman" w:hAnsi="Times New Roman" w:cs="Times New Roman"/>
          <w:i/>
          <w:iCs/>
          <w:sz w:val="18"/>
          <w:szCs w:val="18"/>
          <w:lang w:eastAsia="ja-JP"/>
        </w:rPr>
        <w:t>NPG Asia Mater.</w:t>
      </w:r>
      <w:r w:rsidRPr="002C1A46">
        <w:rPr>
          <w:rFonts w:ascii="Times New Roman" w:hAnsi="Times New Roman" w:cs="Times New Roman"/>
          <w:sz w:val="18"/>
          <w:szCs w:val="18"/>
          <w:lang w:eastAsia="ja-JP"/>
        </w:rPr>
        <w:t xml:space="preserve">, 2020, </w:t>
      </w:r>
      <w:r w:rsidRPr="002C1A46">
        <w:rPr>
          <w:rFonts w:ascii="Times New Roman" w:hAnsi="Times New Roman" w:cs="Times New Roman"/>
          <w:b/>
          <w:bCs/>
          <w:sz w:val="18"/>
          <w:szCs w:val="18"/>
          <w:lang w:eastAsia="ja-JP"/>
        </w:rPr>
        <w:t>12</w:t>
      </w:r>
      <w:r w:rsidRPr="002C1A46">
        <w:rPr>
          <w:rFonts w:ascii="Times New Roman" w:hAnsi="Times New Roman" w:cs="Times New Roman"/>
          <w:sz w:val="18"/>
          <w:szCs w:val="18"/>
          <w:lang w:eastAsia="ja-JP"/>
        </w:rPr>
        <w:t>, 85.</w:t>
      </w:r>
    </w:p>
    <w:p w14:paraId="53D45C32" w14:textId="2C8EF350"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D. L. Price, S. C. Moss, R. </w:t>
      </w:r>
      <w:proofErr w:type="spellStart"/>
      <w:r w:rsidRPr="002C1A46">
        <w:rPr>
          <w:rFonts w:ascii="Times New Roman" w:hAnsi="Times New Roman" w:cs="Times New Roman"/>
          <w:sz w:val="18"/>
          <w:szCs w:val="18"/>
          <w:lang w:eastAsia="ja-JP"/>
        </w:rPr>
        <w:t>Reijers</w:t>
      </w:r>
      <w:proofErr w:type="spellEnd"/>
      <w:r w:rsidRPr="002C1A46">
        <w:rPr>
          <w:rFonts w:ascii="Times New Roman" w:hAnsi="Times New Roman" w:cs="Times New Roman"/>
          <w:sz w:val="18"/>
          <w:szCs w:val="18"/>
          <w:lang w:eastAsia="ja-JP"/>
        </w:rPr>
        <w:t xml:space="preserve">, M.-L. </w:t>
      </w:r>
      <w:proofErr w:type="spellStart"/>
      <w:r w:rsidRPr="002C1A46">
        <w:rPr>
          <w:rFonts w:ascii="Times New Roman" w:hAnsi="Times New Roman" w:cs="Times New Roman"/>
          <w:sz w:val="18"/>
          <w:szCs w:val="18"/>
          <w:lang w:eastAsia="ja-JP"/>
        </w:rPr>
        <w:t>Saboungi</w:t>
      </w:r>
      <w:proofErr w:type="spellEnd"/>
      <w:r w:rsidRPr="002C1A46">
        <w:rPr>
          <w:rFonts w:ascii="Times New Roman" w:hAnsi="Times New Roman" w:cs="Times New Roman"/>
          <w:sz w:val="18"/>
          <w:szCs w:val="18"/>
          <w:lang w:eastAsia="ja-JP"/>
        </w:rPr>
        <w:t xml:space="preserve"> and S. Susman, </w:t>
      </w:r>
      <w:r w:rsidRPr="002C1A46">
        <w:rPr>
          <w:rFonts w:ascii="Times New Roman" w:hAnsi="Times New Roman" w:cs="Times New Roman"/>
          <w:i/>
          <w:iCs/>
          <w:sz w:val="18"/>
          <w:szCs w:val="18"/>
          <w:lang w:eastAsia="ja-JP"/>
        </w:rPr>
        <w:t>J. Phys. C Solid State</w:t>
      </w:r>
      <w:r w:rsidR="001838D0" w:rsidRPr="002C1A46">
        <w:rPr>
          <w:rFonts w:ascii="Times New Roman" w:hAnsi="Times New Roman" w:cs="Times New Roman"/>
          <w:i/>
          <w:iCs/>
          <w:sz w:val="18"/>
          <w:szCs w:val="18"/>
          <w:lang w:eastAsia="ja-JP"/>
        </w:rPr>
        <w:t xml:space="preserve"> Phys</w:t>
      </w:r>
      <w:r w:rsidR="005F5C4E"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1988, </w:t>
      </w:r>
      <w:r w:rsidRPr="002C1A46">
        <w:rPr>
          <w:rFonts w:ascii="Times New Roman" w:hAnsi="Times New Roman" w:cs="Times New Roman"/>
          <w:b/>
          <w:bCs/>
          <w:sz w:val="18"/>
          <w:szCs w:val="18"/>
          <w:lang w:eastAsia="ja-JP"/>
        </w:rPr>
        <w:t>21</w:t>
      </w:r>
      <w:r w:rsidRPr="002C1A46">
        <w:rPr>
          <w:rFonts w:ascii="Times New Roman" w:hAnsi="Times New Roman" w:cs="Times New Roman"/>
          <w:sz w:val="18"/>
          <w:szCs w:val="18"/>
          <w:lang w:eastAsia="ja-JP"/>
        </w:rPr>
        <w:t>, L1069–L1072.</w:t>
      </w:r>
    </w:p>
    <w:p w14:paraId="14E1CBB9"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R. Elliott, </w:t>
      </w:r>
      <w:r w:rsidRPr="002C1A46">
        <w:rPr>
          <w:rFonts w:ascii="Times New Roman" w:hAnsi="Times New Roman" w:cs="Times New Roman"/>
          <w:i/>
          <w:iCs/>
          <w:sz w:val="18"/>
          <w:szCs w:val="18"/>
          <w:lang w:eastAsia="ja-JP"/>
        </w:rPr>
        <w:t>Nature</w:t>
      </w:r>
      <w:r w:rsidRPr="002C1A46">
        <w:rPr>
          <w:rFonts w:ascii="Times New Roman" w:hAnsi="Times New Roman" w:cs="Times New Roman"/>
          <w:sz w:val="18"/>
          <w:szCs w:val="18"/>
          <w:lang w:eastAsia="ja-JP"/>
        </w:rPr>
        <w:t xml:space="preserve">, 1991, </w:t>
      </w:r>
      <w:r w:rsidRPr="002C1A46">
        <w:rPr>
          <w:rFonts w:ascii="Times New Roman" w:hAnsi="Times New Roman" w:cs="Times New Roman"/>
          <w:b/>
          <w:bCs/>
          <w:sz w:val="18"/>
          <w:szCs w:val="18"/>
          <w:lang w:eastAsia="ja-JP"/>
        </w:rPr>
        <w:t>354</w:t>
      </w:r>
      <w:r w:rsidRPr="002C1A46">
        <w:rPr>
          <w:rFonts w:ascii="Times New Roman" w:hAnsi="Times New Roman" w:cs="Times New Roman"/>
          <w:sz w:val="18"/>
          <w:szCs w:val="18"/>
          <w:lang w:eastAsia="ja-JP"/>
        </w:rPr>
        <w:t>, 445–452.</w:t>
      </w:r>
    </w:p>
    <w:p w14:paraId="35513EB7"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S. Salmon, </w:t>
      </w:r>
      <w:r w:rsidRPr="002C1A46">
        <w:rPr>
          <w:rFonts w:ascii="Times New Roman" w:hAnsi="Times New Roman" w:cs="Times New Roman"/>
          <w:i/>
          <w:iCs/>
          <w:sz w:val="18"/>
          <w:szCs w:val="18"/>
          <w:lang w:eastAsia="ja-JP"/>
        </w:rPr>
        <w:t>Proc. R. Soc. Lond. A</w:t>
      </w:r>
      <w:r w:rsidRPr="002C1A46">
        <w:rPr>
          <w:rFonts w:ascii="Times New Roman" w:hAnsi="Times New Roman" w:cs="Times New Roman"/>
          <w:sz w:val="18"/>
          <w:szCs w:val="18"/>
          <w:lang w:eastAsia="ja-JP"/>
        </w:rPr>
        <w:t xml:space="preserve">, 1994, </w:t>
      </w:r>
      <w:r w:rsidRPr="002C1A46">
        <w:rPr>
          <w:rFonts w:ascii="Times New Roman" w:hAnsi="Times New Roman" w:cs="Times New Roman"/>
          <w:b/>
          <w:bCs/>
          <w:sz w:val="18"/>
          <w:szCs w:val="18"/>
          <w:lang w:eastAsia="ja-JP"/>
        </w:rPr>
        <w:t>445</w:t>
      </w:r>
      <w:r w:rsidRPr="002C1A46">
        <w:rPr>
          <w:rFonts w:ascii="Times New Roman" w:hAnsi="Times New Roman" w:cs="Times New Roman"/>
          <w:sz w:val="18"/>
          <w:szCs w:val="18"/>
          <w:lang w:eastAsia="ja-JP"/>
        </w:rPr>
        <w:t>, 351–365.</w:t>
      </w:r>
    </w:p>
    <w:p w14:paraId="08DFC967"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H. Gaskell and D. J. Wallis, </w:t>
      </w:r>
      <w:r w:rsidRPr="002C1A46">
        <w:rPr>
          <w:rFonts w:ascii="Times New Roman" w:hAnsi="Times New Roman" w:cs="Times New Roman"/>
          <w:i/>
          <w:iCs/>
          <w:sz w:val="18"/>
          <w:szCs w:val="18"/>
          <w:lang w:eastAsia="ja-JP"/>
        </w:rPr>
        <w:t>Phys. Rev. Lett.</w:t>
      </w:r>
      <w:r w:rsidRPr="002C1A46">
        <w:rPr>
          <w:rFonts w:ascii="Times New Roman" w:hAnsi="Times New Roman" w:cs="Times New Roman"/>
          <w:sz w:val="18"/>
          <w:szCs w:val="18"/>
          <w:lang w:eastAsia="ja-JP"/>
        </w:rPr>
        <w:t xml:space="preserve">, 1996, </w:t>
      </w:r>
      <w:r w:rsidRPr="002C1A46">
        <w:rPr>
          <w:rFonts w:ascii="Times New Roman" w:hAnsi="Times New Roman" w:cs="Times New Roman"/>
          <w:b/>
          <w:bCs/>
          <w:sz w:val="18"/>
          <w:szCs w:val="18"/>
          <w:lang w:eastAsia="ja-JP"/>
        </w:rPr>
        <w:t>76</w:t>
      </w:r>
      <w:r w:rsidRPr="002C1A46">
        <w:rPr>
          <w:rFonts w:ascii="Times New Roman" w:hAnsi="Times New Roman" w:cs="Times New Roman"/>
          <w:sz w:val="18"/>
          <w:szCs w:val="18"/>
          <w:lang w:eastAsia="ja-JP"/>
        </w:rPr>
        <w:t>, 66–69.</w:t>
      </w:r>
    </w:p>
    <w:p w14:paraId="0C3E1C8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Y. Onodera, S. Kohara, S. </w:t>
      </w:r>
      <w:proofErr w:type="spellStart"/>
      <w:r w:rsidRPr="002C1A46">
        <w:rPr>
          <w:rFonts w:ascii="Times New Roman" w:hAnsi="Times New Roman" w:cs="Times New Roman"/>
          <w:sz w:val="18"/>
          <w:szCs w:val="18"/>
          <w:lang w:eastAsia="ja-JP"/>
        </w:rPr>
        <w:t>Tahara</w:t>
      </w:r>
      <w:proofErr w:type="spellEnd"/>
      <w:r w:rsidRPr="002C1A46">
        <w:rPr>
          <w:rFonts w:ascii="Times New Roman" w:hAnsi="Times New Roman" w:cs="Times New Roman"/>
          <w:sz w:val="18"/>
          <w:szCs w:val="18"/>
          <w:lang w:eastAsia="ja-JP"/>
        </w:rPr>
        <w:t xml:space="preserve">, A. </w:t>
      </w:r>
      <w:proofErr w:type="spellStart"/>
      <w:r w:rsidRPr="002C1A46">
        <w:rPr>
          <w:rFonts w:ascii="Times New Roman" w:hAnsi="Times New Roman" w:cs="Times New Roman"/>
          <w:sz w:val="18"/>
          <w:szCs w:val="18"/>
          <w:lang w:eastAsia="ja-JP"/>
        </w:rPr>
        <w:t>Masuno</w:t>
      </w:r>
      <w:proofErr w:type="spellEnd"/>
      <w:r w:rsidRPr="002C1A46">
        <w:rPr>
          <w:rFonts w:ascii="Times New Roman" w:hAnsi="Times New Roman" w:cs="Times New Roman"/>
          <w:sz w:val="18"/>
          <w:szCs w:val="18"/>
          <w:lang w:eastAsia="ja-JP"/>
        </w:rPr>
        <w:t xml:space="preserve">, H. Inoue, M. Shiga, A. Hirata, K. Tsuchiya, Y. Hiraoka, I. Obayashi, K. Ohara, A. Mizuno and O. Sakata, </w:t>
      </w:r>
      <w:r w:rsidRPr="002C1A46">
        <w:rPr>
          <w:rFonts w:ascii="Times New Roman" w:hAnsi="Times New Roman" w:cs="Times New Roman"/>
          <w:i/>
          <w:iCs/>
          <w:sz w:val="18"/>
          <w:szCs w:val="18"/>
          <w:lang w:eastAsia="ja-JP"/>
        </w:rPr>
        <w:t xml:space="preserve">J. Ceram. Soc. </w:t>
      </w:r>
      <w:proofErr w:type="spellStart"/>
      <w:r w:rsidRPr="002C1A46">
        <w:rPr>
          <w:rFonts w:ascii="Times New Roman" w:hAnsi="Times New Roman" w:cs="Times New Roman"/>
          <w:i/>
          <w:iCs/>
          <w:sz w:val="18"/>
          <w:szCs w:val="18"/>
          <w:lang w:eastAsia="ja-JP"/>
        </w:rPr>
        <w:t>Jpn</w:t>
      </w:r>
      <w:proofErr w:type="spellEnd"/>
      <w:r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2019, </w:t>
      </w:r>
      <w:r w:rsidRPr="002C1A46">
        <w:rPr>
          <w:rFonts w:ascii="Times New Roman" w:hAnsi="Times New Roman" w:cs="Times New Roman"/>
          <w:b/>
          <w:bCs/>
          <w:sz w:val="18"/>
          <w:szCs w:val="18"/>
          <w:lang w:eastAsia="ja-JP"/>
        </w:rPr>
        <w:t>127</w:t>
      </w:r>
      <w:r w:rsidRPr="002C1A46">
        <w:rPr>
          <w:rFonts w:ascii="Times New Roman" w:hAnsi="Times New Roman" w:cs="Times New Roman"/>
          <w:sz w:val="18"/>
          <w:szCs w:val="18"/>
          <w:lang w:eastAsia="ja-JP"/>
        </w:rPr>
        <w:t>, 853–863.</w:t>
      </w:r>
    </w:p>
    <w:p w14:paraId="45D86185"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P. S. Salmon and A. Zeidler,</w:t>
      </w:r>
      <w:r w:rsidRPr="002C1A46">
        <w:rPr>
          <w:rFonts w:ascii="Times New Roman" w:hAnsi="Times New Roman" w:cs="Times New Roman"/>
          <w:i/>
          <w:iCs/>
          <w:sz w:val="18"/>
          <w:szCs w:val="18"/>
          <w:lang w:eastAsia="ja-JP"/>
        </w:rPr>
        <w:t xml:space="preserve"> J. Stat. Mech. Theory E</w:t>
      </w:r>
      <w:r w:rsidRPr="002C1A46">
        <w:rPr>
          <w:rFonts w:ascii="Times New Roman" w:hAnsi="Times New Roman" w:cs="Times New Roman"/>
          <w:sz w:val="18"/>
          <w:szCs w:val="18"/>
          <w:lang w:eastAsia="ja-JP"/>
        </w:rPr>
        <w:t xml:space="preserve">, 2019, </w:t>
      </w:r>
      <w:r w:rsidRPr="002C1A46">
        <w:rPr>
          <w:rFonts w:ascii="Times New Roman" w:hAnsi="Times New Roman" w:cs="Times New Roman"/>
          <w:b/>
          <w:bCs/>
          <w:sz w:val="18"/>
          <w:szCs w:val="18"/>
          <w:lang w:eastAsia="ja-JP"/>
        </w:rPr>
        <w:t>2019</w:t>
      </w:r>
      <w:r w:rsidRPr="002C1A46">
        <w:rPr>
          <w:rFonts w:ascii="Times New Roman" w:hAnsi="Times New Roman" w:cs="Times New Roman"/>
          <w:sz w:val="18"/>
          <w:szCs w:val="18"/>
          <w:lang w:eastAsia="ja-JP"/>
        </w:rPr>
        <w:t>, 114006.</w:t>
      </w:r>
    </w:p>
    <w:p w14:paraId="1922114C"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lastRenderedPageBreak/>
        <w:t xml:space="preserve">P. S. Salmon, in </w:t>
      </w:r>
      <w:r w:rsidRPr="002C1A46">
        <w:rPr>
          <w:rFonts w:ascii="Times New Roman" w:hAnsi="Times New Roman" w:cs="Times New Roman"/>
          <w:i/>
          <w:iCs/>
          <w:sz w:val="18"/>
          <w:szCs w:val="18"/>
          <w:lang w:eastAsia="ja-JP"/>
        </w:rPr>
        <w:t>Magmas Under Pressure: Advances in High-Pressure Experiments on Structure and Properties of Melts</w:t>
      </w:r>
      <w:r w:rsidRPr="002C1A46">
        <w:rPr>
          <w:rFonts w:ascii="Times New Roman" w:hAnsi="Times New Roman" w:cs="Times New Roman"/>
          <w:sz w:val="18"/>
          <w:szCs w:val="18"/>
          <w:lang w:eastAsia="ja-JP"/>
        </w:rPr>
        <w:t xml:space="preserve">, ed. Y. Kono and C. </w:t>
      </w:r>
      <w:proofErr w:type="spellStart"/>
      <w:r w:rsidRPr="002C1A46">
        <w:rPr>
          <w:rFonts w:ascii="Times New Roman" w:hAnsi="Times New Roman" w:cs="Times New Roman"/>
          <w:sz w:val="18"/>
          <w:szCs w:val="18"/>
          <w:lang w:eastAsia="ja-JP"/>
        </w:rPr>
        <w:t>Sanloup</w:t>
      </w:r>
      <w:proofErr w:type="spellEnd"/>
      <w:r w:rsidRPr="002C1A46">
        <w:rPr>
          <w:rFonts w:ascii="Times New Roman" w:hAnsi="Times New Roman" w:cs="Times New Roman"/>
          <w:sz w:val="18"/>
          <w:szCs w:val="18"/>
          <w:lang w:eastAsia="ja-JP"/>
        </w:rPr>
        <w:t>, Elsevier, Amsterdam, 2018, vol. 13, pp. 345–364.</w:t>
      </w:r>
    </w:p>
    <w:p w14:paraId="4AFE4C41"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S. Salmon, R, A, Martin, P. E. Mason and G. J. Cuello, </w:t>
      </w:r>
      <w:r w:rsidRPr="002C1A46">
        <w:rPr>
          <w:rFonts w:ascii="Times New Roman" w:hAnsi="Times New Roman" w:cs="Times New Roman"/>
          <w:i/>
          <w:iCs/>
          <w:sz w:val="18"/>
          <w:szCs w:val="18"/>
          <w:lang w:eastAsia="ja-JP"/>
        </w:rPr>
        <w:t>Nature</w:t>
      </w:r>
      <w:r w:rsidRPr="002C1A46">
        <w:rPr>
          <w:rFonts w:ascii="Times New Roman" w:hAnsi="Times New Roman" w:cs="Times New Roman"/>
          <w:sz w:val="18"/>
          <w:szCs w:val="18"/>
          <w:lang w:eastAsia="ja-JP"/>
        </w:rPr>
        <w:t xml:space="preserve">, 2005, </w:t>
      </w:r>
      <w:r w:rsidRPr="002C1A46">
        <w:rPr>
          <w:rFonts w:ascii="Times New Roman" w:hAnsi="Times New Roman" w:cs="Times New Roman"/>
          <w:b/>
          <w:bCs/>
          <w:sz w:val="18"/>
          <w:szCs w:val="18"/>
          <w:lang w:eastAsia="ja-JP"/>
        </w:rPr>
        <w:t>435</w:t>
      </w:r>
      <w:r w:rsidRPr="002C1A46">
        <w:rPr>
          <w:rFonts w:ascii="Times New Roman" w:hAnsi="Times New Roman" w:cs="Times New Roman"/>
          <w:sz w:val="18"/>
          <w:szCs w:val="18"/>
          <w:lang w:eastAsia="ja-JP"/>
        </w:rPr>
        <w:t>, 75–78.</w:t>
      </w:r>
    </w:p>
    <w:p w14:paraId="18C02392"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S. Salmon, A. C. Barnes, R. A. Martin and G. J. Cuello, </w:t>
      </w:r>
      <w:r w:rsidRPr="002C1A46">
        <w:rPr>
          <w:rFonts w:ascii="Times New Roman" w:hAnsi="Times New Roman" w:cs="Times New Roman"/>
          <w:i/>
          <w:iCs/>
          <w:sz w:val="18"/>
          <w:szCs w:val="18"/>
          <w:lang w:eastAsia="ja-JP"/>
        </w:rPr>
        <w:t xml:space="preserve">Phys. Rev. </w:t>
      </w:r>
      <w:proofErr w:type="spellStart"/>
      <w:r w:rsidRPr="002C1A46">
        <w:rPr>
          <w:rFonts w:ascii="Times New Roman" w:hAnsi="Times New Roman" w:cs="Times New Roman"/>
          <w:i/>
          <w:iCs/>
          <w:sz w:val="18"/>
          <w:szCs w:val="18"/>
          <w:lang w:eastAsia="ja-JP"/>
        </w:rPr>
        <w:t>lett</w:t>
      </w:r>
      <w:proofErr w:type="spellEnd"/>
      <w:r w:rsidRPr="002C1A46">
        <w:rPr>
          <w:rFonts w:ascii="Times New Roman" w:hAnsi="Times New Roman" w:cs="Times New Roman"/>
          <w:i/>
          <w:iCs/>
          <w:sz w:val="18"/>
          <w:szCs w:val="18"/>
          <w:lang w:eastAsia="ja-JP"/>
        </w:rPr>
        <w:t>.</w:t>
      </w:r>
      <w:r w:rsidRPr="002C1A46">
        <w:rPr>
          <w:rFonts w:ascii="Times New Roman" w:hAnsi="Times New Roman" w:cs="Times New Roman"/>
          <w:sz w:val="18"/>
          <w:szCs w:val="18"/>
          <w:lang w:eastAsia="ja-JP"/>
        </w:rPr>
        <w:t xml:space="preserve">, 2006, </w:t>
      </w:r>
      <w:r w:rsidRPr="002C1A46">
        <w:rPr>
          <w:rFonts w:ascii="Times New Roman" w:hAnsi="Times New Roman" w:cs="Times New Roman"/>
          <w:b/>
          <w:bCs/>
          <w:sz w:val="18"/>
          <w:szCs w:val="18"/>
          <w:lang w:eastAsia="ja-JP"/>
        </w:rPr>
        <w:t>96</w:t>
      </w:r>
      <w:r w:rsidRPr="002C1A46">
        <w:rPr>
          <w:rFonts w:ascii="Times New Roman" w:hAnsi="Times New Roman" w:cs="Times New Roman"/>
          <w:sz w:val="18"/>
          <w:szCs w:val="18"/>
          <w:lang w:eastAsia="ja-JP"/>
        </w:rPr>
        <w:t>, 235502.</w:t>
      </w:r>
    </w:p>
    <w:p w14:paraId="1E21563B"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S. Kohara, J. Akola, H. Morita, K. Suzuya, J. K. R. Weber, M. C. Wilding and C. J. Benmore, </w:t>
      </w:r>
      <w:r w:rsidRPr="002C1A46">
        <w:rPr>
          <w:rFonts w:ascii="Times New Roman" w:hAnsi="Times New Roman" w:cs="Times New Roman"/>
          <w:i/>
          <w:iCs/>
          <w:sz w:val="18"/>
          <w:szCs w:val="18"/>
          <w:lang w:eastAsia="ja-JP"/>
        </w:rPr>
        <w:t>Proc. Natl. Acad. Sci. USA</w:t>
      </w:r>
      <w:r w:rsidRPr="002C1A46">
        <w:rPr>
          <w:rFonts w:ascii="Times New Roman" w:hAnsi="Times New Roman" w:cs="Times New Roman"/>
          <w:sz w:val="18"/>
          <w:szCs w:val="18"/>
          <w:lang w:eastAsia="ja-JP"/>
        </w:rPr>
        <w:t xml:space="preserve">, 2011, </w:t>
      </w:r>
      <w:r w:rsidRPr="002C1A46">
        <w:rPr>
          <w:rFonts w:ascii="Times New Roman" w:hAnsi="Times New Roman" w:cs="Times New Roman"/>
          <w:b/>
          <w:bCs/>
          <w:sz w:val="18"/>
          <w:szCs w:val="18"/>
          <w:lang w:eastAsia="ja-JP"/>
        </w:rPr>
        <w:t>108</w:t>
      </w:r>
      <w:r w:rsidRPr="002C1A46">
        <w:rPr>
          <w:rFonts w:ascii="Times New Roman" w:hAnsi="Times New Roman" w:cs="Times New Roman"/>
          <w:sz w:val="18"/>
          <w:szCs w:val="18"/>
          <w:lang w:eastAsia="ja-JP"/>
        </w:rPr>
        <w:t>, 14780–14785.</w:t>
      </w:r>
    </w:p>
    <w:p w14:paraId="55376346" w14:textId="77777777" w:rsidR="00A954CB"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P. K. Gupta and A. R. Cooper, </w:t>
      </w:r>
      <w:r w:rsidRPr="002C1A46">
        <w:rPr>
          <w:rFonts w:ascii="Times New Roman" w:hAnsi="Times New Roman" w:cs="Times New Roman"/>
          <w:i/>
          <w:iCs/>
          <w:sz w:val="18"/>
          <w:szCs w:val="18"/>
          <w:lang w:eastAsia="ja-JP"/>
        </w:rPr>
        <w:t>J. Non-</w:t>
      </w:r>
      <w:proofErr w:type="spellStart"/>
      <w:r w:rsidRPr="002C1A46">
        <w:rPr>
          <w:rFonts w:ascii="Times New Roman" w:hAnsi="Times New Roman" w:cs="Times New Roman"/>
          <w:i/>
          <w:iCs/>
          <w:sz w:val="18"/>
          <w:szCs w:val="18"/>
          <w:lang w:eastAsia="ja-JP"/>
        </w:rPr>
        <w:t>Cryst</w:t>
      </w:r>
      <w:proofErr w:type="spellEnd"/>
      <w:r w:rsidRPr="002C1A46">
        <w:rPr>
          <w:rFonts w:ascii="Times New Roman" w:hAnsi="Times New Roman" w:cs="Times New Roman"/>
          <w:i/>
          <w:iCs/>
          <w:sz w:val="18"/>
          <w:szCs w:val="18"/>
          <w:lang w:eastAsia="ja-JP"/>
        </w:rPr>
        <w:t>. Solids</w:t>
      </w:r>
      <w:r w:rsidRPr="002C1A46">
        <w:rPr>
          <w:rFonts w:ascii="Times New Roman" w:hAnsi="Times New Roman" w:cs="Times New Roman"/>
          <w:sz w:val="18"/>
          <w:szCs w:val="18"/>
          <w:lang w:eastAsia="ja-JP"/>
        </w:rPr>
        <w:t xml:space="preserve">, 1990, </w:t>
      </w:r>
      <w:r w:rsidRPr="002C1A46">
        <w:rPr>
          <w:rFonts w:ascii="Times New Roman" w:hAnsi="Times New Roman" w:cs="Times New Roman"/>
          <w:b/>
          <w:bCs/>
          <w:sz w:val="18"/>
          <w:szCs w:val="18"/>
          <w:lang w:eastAsia="ja-JP"/>
        </w:rPr>
        <w:t>123</w:t>
      </w:r>
      <w:r w:rsidRPr="002C1A46">
        <w:rPr>
          <w:rFonts w:ascii="Times New Roman" w:hAnsi="Times New Roman" w:cs="Times New Roman"/>
          <w:sz w:val="18"/>
          <w:szCs w:val="18"/>
          <w:lang w:eastAsia="ja-JP"/>
        </w:rPr>
        <w:t>, 14–21.</w:t>
      </w:r>
    </w:p>
    <w:p w14:paraId="79EB8D10" w14:textId="42F53D24" w:rsidR="005F5B49" w:rsidRPr="002C1A46" w:rsidRDefault="00A954CB" w:rsidP="007F680D">
      <w:pPr>
        <w:pStyle w:val="ac"/>
        <w:numPr>
          <w:ilvl w:val="0"/>
          <w:numId w:val="14"/>
        </w:numPr>
        <w:spacing w:after="0" w:line="200" w:lineRule="exact"/>
        <w:ind w:left="284" w:hanging="284"/>
        <w:contextualSpacing w:val="0"/>
        <w:jc w:val="both"/>
        <w:rPr>
          <w:rFonts w:ascii="Times New Roman" w:hAnsi="Times New Roman" w:cs="Times New Roman"/>
          <w:sz w:val="18"/>
          <w:szCs w:val="18"/>
          <w:lang w:eastAsia="ja-JP"/>
        </w:rPr>
      </w:pPr>
      <w:r w:rsidRPr="002C1A46">
        <w:rPr>
          <w:rFonts w:ascii="Times New Roman" w:hAnsi="Times New Roman" w:cs="Times New Roman"/>
          <w:sz w:val="18"/>
          <w:szCs w:val="18"/>
          <w:lang w:eastAsia="ja-JP"/>
        </w:rPr>
        <w:t xml:space="preserve">V. V. Brazhkin, J. Akola, Y. Katayama, S. Kohara, M. V. </w:t>
      </w:r>
      <w:proofErr w:type="spellStart"/>
      <w:r w:rsidRPr="002C1A46">
        <w:rPr>
          <w:rFonts w:ascii="Times New Roman" w:hAnsi="Times New Roman" w:cs="Times New Roman"/>
          <w:sz w:val="18"/>
          <w:szCs w:val="18"/>
          <w:lang w:eastAsia="ja-JP"/>
        </w:rPr>
        <w:t>Kondrin</w:t>
      </w:r>
      <w:proofErr w:type="spellEnd"/>
      <w:r w:rsidRPr="002C1A46">
        <w:rPr>
          <w:rFonts w:ascii="Times New Roman" w:hAnsi="Times New Roman" w:cs="Times New Roman"/>
          <w:sz w:val="18"/>
          <w:szCs w:val="18"/>
          <w:lang w:eastAsia="ja-JP"/>
        </w:rPr>
        <w:t xml:space="preserve">, A. G. Lyapin, S. G. Lyapin, G. Tricot and O. F. Yagaforav, </w:t>
      </w:r>
      <w:r w:rsidRPr="002C1A46">
        <w:rPr>
          <w:rFonts w:ascii="Times New Roman" w:hAnsi="Times New Roman" w:cs="Times New Roman"/>
          <w:i/>
          <w:iCs/>
          <w:sz w:val="18"/>
          <w:szCs w:val="18"/>
          <w:lang w:eastAsia="ja-JP"/>
        </w:rPr>
        <w:t>J. Mater. Chem.</w:t>
      </w:r>
      <w:r w:rsidRPr="002C1A46">
        <w:rPr>
          <w:rFonts w:ascii="Times New Roman" w:hAnsi="Times New Roman" w:cs="Times New Roman"/>
          <w:sz w:val="18"/>
          <w:szCs w:val="18"/>
          <w:lang w:eastAsia="ja-JP"/>
        </w:rPr>
        <w:t xml:space="preserve">, 2011, </w:t>
      </w:r>
      <w:r w:rsidRPr="002C1A46">
        <w:rPr>
          <w:rFonts w:ascii="Times New Roman" w:hAnsi="Times New Roman" w:cs="Times New Roman"/>
          <w:b/>
          <w:bCs/>
          <w:sz w:val="18"/>
          <w:szCs w:val="18"/>
          <w:lang w:eastAsia="ja-JP"/>
        </w:rPr>
        <w:t>21</w:t>
      </w:r>
      <w:r w:rsidRPr="002C1A46">
        <w:rPr>
          <w:rFonts w:ascii="Times New Roman" w:hAnsi="Times New Roman" w:cs="Times New Roman"/>
          <w:sz w:val="18"/>
          <w:szCs w:val="18"/>
          <w:lang w:eastAsia="ja-JP"/>
        </w:rPr>
        <w:t>, 10442.</w:t>
      </w:r>
    </w:p>
    <w:sectPr w:rsidR="005F5B49" w:rsidRPr="002C1A46"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76E54E" w14:textId="77777777" w:rsidR="001A26BB" w:rsidRDefault="001A26BB" w:rsidP="00E547DB">
      <w:pPr>
        <w:spacing w:after="0" w:line="240" w:lineRule="auto"/>
      </w:pPr>
      <w:r>
        <w:separator/>
      </w:r>
    </w:p>
    <w:p w14:paraId="5547CA9C" w14:textId="77777777" w:rsidR="001A26BB" w:rsidRDefault="001A26BB"/>
    <w:p w14:paraId="3E34A474" w14:textId="77777777" w:rsidR="001A26BB" w:rsidRDefault="001A26BB"/>
    <w:p w14:paraId="0495D18F" w14:textId="77777777" w:rsidR="001A26BB" w:rsidRDefault="001A26BB"/>
    <w:p w14:paraId="0294FF25" w14:textId="77777777" w:rsidR="001A26BB" w:rsidRDefault="001A26BB"/>
    <w:p w14:paraId="290CD7A7" w14:textId="77777777" w:rsidR="001A26BB" w:rsidRDefault="001A26BB"/>
  </w:endnote>
  <w:endnote w:type="continuationSeparator" w:id="0">
    <w:p w14:paraId="3562D95E" w14:textId="77777777" w:rsidR="001A26BB" w:rsidRDefault="001A26BB" w:rsidP="00E547DB">
      <w:pPr>
        <w:spacing w:after="0" w:line="240" w:lineRule="auto"/>
      </w:pPr>
      <w:r>
        <w:continuationSeparator/>
      </w:r>
    </w:p>
    <w:p w14:paraId="2C39C9C9" w14:textId="77777777" w:rsidR="001A26BB" w:rsidRDefault="001A26BB"/>
    <w:p w14:paraId="3FFEE74E" w14:textId="77777777" w:rsidR="001A26BB" w:rsidRDefault="001A26BB"/>
    <w:p w14:paraId="30FC7986" w14:textId="77777777" w:rsidR="001A26BB" w:rsidRDefault="001A26BB"/>
    <w:p w14:paraId="60CEC984" w14:textId="77777777" w:rsidR="001A26BB" w:rsidRDefault="001A26BB"/>
    <w:p w14:paraId="7815C3DC" w14:textId="77777777" w:rsidR="001A26BB" w:rsidRDefault="001A2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0B2C9F2-99D0-184A-8816-501952170522}"/>
    <w:embedBold r:id="rId2" w:fontKey="{55D52B13-53E6-6F49-B04C-E243B0450EC4}"/>
    <w:embedItalic r:id="rId3" w:fontKey="{396CB8E6-E73D-1645-AEFB-F4D935F242BA}"/>
    <w:embedBoldItalic r:id="rId4" w:fontKey="{8C29E4E0-EF0C-974C-9C53-426DB3F93875}"/>
  </w:font>
  <w:font w:name="Calibri">
    <w:panose1 w:val="020F0502020204030204"/>
    <w:charset w:val="00"/>
    <w:family w:val="swiss"/>
    <w:pitch w:val="variable"/>
    <w:sig w:usb0="E0002AFF" w:usb1="C000247B" w:usb2="00000009" w:usb3="00000000" w:csb0="000001FF" w:csb1="00000000"/>
    <w:embedRegular r:id="rId5" w:fontKey="{C1D0D09B-45C1-0D4E-AA88-5CF6D3D14D45}"/>
    <w:embedBold r:id="rId6" w:fontKey="{ED9277BD-0C24-0549-9E9C-D37B2B188A01}"/>
    <w:embedItalic r:id="rId7" w:fontKey="{56A0AF93-704A-DB47-8EE3-0FF7B46E3725}"/>
    <w:embedBoldItalic r:id="rId8" w:fontKey="{833386B3-A1F5-9F4C-A6C6-FB61BAC4E72A}"/>
  </w:font>
  <w:font w:name="Courier New">
    <w:panose1 w:val="02070309020205020404"/>
    <w:charset w:val="00"/>
    <w:family w:val="modern"/>
    <w:pitch w:val="fixed"/>
    <w:sig w:usb0="E0002EFF" w:usb1="C0007843" w:usb2="00000009" w:usb3="00000000" w:csb0="000001FF" w:csb1="00000000"/>
    <w:embedRegular r:id="rId9" w:fontKey="{11CFE31B-7EB2-D942-BA53-22080E817536}"/>
  </w:font>
  <w:font w:name="Wingdings">
    <w:panose1 w:val="05000000000000000000"/>
    <w:charset w:val="4D"/>
    <w:family w:val="decorative"/>
    <w:pitch w:val="variable"/>
    <w:sig w:usb0="00000003" w:usb1="00000000" w:usb2="00000000" w:usb3="00000000" w:csb0="80000001" w:csb1="00000000"/>
    <w:embedRegular r:id="rId10" w:fontKey="{8F55F295-F13B-EE4F-8CD7-8D8B6A9F5C9B}"/>
  </w:font>
  <w:font w:name="Symbol">
    <w:panose1 w:val="05050102010706020507"/>
    <w:charset w:val="02"/>
    <w:family w:val="decorative"/>
    <w:pitch w:val="variable"/>
    <w:sig w:usb0="00000000" w:usb1="10000000" w:usb2="00000000" w:usb3="00000000" w:csb0="80000000" w:csb1="00000000"/>
    <w:embedRegular r:id="rId11" w:fontKey="{BFA476DA-6550-094E-B9C1-0B04896EAE7A}"/>
  </w:font>
  <w:font w:name="ＭＳ 明朝">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2" w:fontKey="{48F6DDAD-4205-7546-BDA3-125A41B12D93}"/>
  </w:font>
  <w:font w:name="Cambria Math">
    <w:panose1 w:val="02040503050406030204"/>
    <w:charset w:val="00"/>
    <w:family w:val="roman"/>
    <w:pitch w:val="variable"/>
    <w:sig w:usb0="E00002FF" w:usb1="420024FF" w:usb2="00000000" w:usb3="00000000" w:csb0="0000019F" w:csb1="00000000"/>
    <w:embedRegular r:id="rId13" w:fontKey="{4C1702B9-BD1A-5C4C-8A1A-B295651C9C14}"/>
    <w:embedBold r:id="rId14" w:fontKey="{719C4FB9-316D-1640-9101-C45A80945425}"/>
    <w:embedItalic r:id="rId15" w:fontKey="{86AD470D-55BA-004E-AA02-B8F300249C38}"/>
  </w:font>
  <w:font w:name="Yu Gothic UI">
    <w:panose1 w:val="020B0500000000000000"/>
    <w:charset w:val="80"/>
    <w:family w:val="swiss"/>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6" w:fontKey="{36C71DEF-A33E-404A-9FD8-2086EC9856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7C395" w14:textId="53E734BB" w:rsidR="00E70DCE" w:rsidRPr="006602F1" w:rsidRDefault="00E70DCE" w:rsidP="00D45ADF">
    <w:pPr>
      <w:pStyle w:val="a5"/>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832766">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sidR="00672928">
      <w:rPr>
        <w:i/>
        <w:noProof/>
        <w:spacing w:val="10"/>
        <w:sz w:val="16"/>
        <w:szCs w:val="16"/>
      </w:rPr>
      <w:t>J</w:t>
    </w:r>
    <w:r w:rsidRPr="006602F1">
      <w:rPr>
        <w:i/>
        <w:noProof/>
        <w:spacing w:val="10"/>
        <w:sz w:val="16"/>
        <w:szCs w:val="16"/>
      </w:rPr>
      <w:t xml:space="preserve">. </w:t>
    </w:r>
    <w:r w:rsidR="00672928">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004877C8" w:rsidRPr="006602F1">
      <w:rPr>
        <w:noProof/>
        <w:spacing w:val="10"/>
        <w:sz w:val="16"/>
        <w:szCs w:val="16"/>
      </w:rPr>
      <w:tab/>
    </w:r>
    <w:r w:rsidR="004877C8" w:rsidRPr="00AC3BF2">
      <w:rPr>
        <w:noProof/>
        <w:spacing w:val="2"/>
        <w:sz w:val="16"/>
        <w:szCs w:val="16"/>
      </w:rPr>
      <w:t xml:space="preserve">This journal is </w:t>
    </w:r>
    <w:r w:rsidR="004877C8" w:rsidRPr="00AC3BF2">
      <w:rPr>
        <w:rFonts w:cstheme="minorHAnsi"/>
        <w:noProof/>
        <w:spacing w:val="2"/>
        <w:sz w:val="16"/>
        <w:szCs w:val="16"/>
      </w:rPr>
      <w:t>©</w:t>
    </w:r>
    <w:r w:rsidR="004877C8" w:rsidRPr="00AC3BF2">
      <w:rPr>
        <w:noProof/>
        <w:spacing w:val="2"/>
        <w:sz w:val="16"/>
        <w:szCs w:val="16"/>
      </w:rPr>
      <w:t xml:space="preserve"> The Royal Society of Chemistry 20</w:t>
    </w:r>
    <w:r w:rsidR="00180ABE">
      <w:rPr>
        <w:noProof/>
        <w:spacing w:val="2"/>
        <w:sz w:val="16"/>
        <w:szCs w:val="16"/>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CC148E" w14:textId="77777777" w:rsidR="004877C8" w:rsidRPr="006602F1" w:rsidRDefault="00180ABE" w:rsidP="00D45ADF">
    <w:pPr>
      <w:pStyle w:val="a5"/>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F157DD">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C4DD8" w14:textId="77777777" w:rsidR="00E70DCE" w:rsidRPr="006602F1" w:rsidRDefault="00514CBA" w:rsidP="00D45ADF">
    <w:pPr>
      <w:pStyle w:val="a5"/>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64384" behindDoc="0" locked="0" layoutInCell="1" allowOverlap="1" wp14:anchorId="70BDE793" wp14:editId="4069E006">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BD3FB71"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0BDE793" id="_x0000_t202" coordsize="21600,21600" o:spt="202" path="m,l,21600r21600,l21600,xe">
              <v:stroke joinstyle="miter"/>
              <v:path gradientshapeok="t" o:connecttype="rect"/>
            </v:shapetype>
            <v:shape id="_x0000_s1039"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" fillcolor="#a5a5a5 [2092]" stroked="f">
              <v:textbox>
                <w:txbxContent>
                  <w:p w14:paraId="2BD3FB71"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00E70DCE" w:rsidRPr="006602F1">
      <w:rPr>
        <w:i/>
        <w:noProo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6A910B" w14:textId="77777777" w:rsidR="001A26BB" w:rsidRDefault="001A26BB" w:rsidP="00E547DB">
      <w:pPr>
        <w:spacing w:after="0" w:line="240" w:lineRule="auto"/>
      </w:pPr>
      <w:r>
        <w:separator/>
      </w:r>
    </w:p>
    <w:p w14:paraId="404B123C" w14:textId="77777777" w:rsidR="001A26BB" w:rsidRDefault="001A26BB"/>
    <w:p w14:paraId="1B076D54" w14:textId="77777777" w:rsidR="001A26BB" w:rsidRDefault="001A26BB"/>
    <w:p w14:paraId="06F9E7B7" w14:textId="77777777" w:rsidR="001A26BB" w:rsidRDefault="001A26BB"/>
    <w:p w14:paraId="3C3B13CC" w14:textId="77777777" w:rsidR="001A26BB" w:rsidRDefault="001A26BB"/>
    <w:p w14:paraId="41735B6A" w14:textId="77777777" w:rsidR="001A26BB" w:rsidRDefault="001A26BB"/>
  </w:footnote>
  <w:footnote w:type="continuationSeparator" w:id="0">
    <w:p w14:paraId="2CFFD250" w14:textId="77777777" w:rsidR="001A26BB" w:rsidRDefault="001A26BB" w:rsidP="00E547DB">
      <w:pPr>
        <w:spacing w:after="0" w:line="240" w:lineRule="auto"/>
      </w:pPr>
      <w:r>
        <w:continuationSeparator/>
      </w:r>
    </w:p>
    <w:p w14:paraId="6D341942" w14:textId="77777777" w:rsidR="001A26BB" w:rsidRDefault="001A26BB"/>
    <w:p w14:paraId="02B9E849" w14:textId="77777777" w:rsidR="001A26BB" w:rsidRDefault="001A26BB"/>
    <w:p w14:paraId="3110F896" w14:textId="77777777" w:rsidR="001A26BB" w:rsidRDefault="001A26BB"/>
    <w:p w14:paraId="731D5195" w14:textId="77777777" w:rsidR="001A26BB" w:rsidRDefault="001A26BB"/>
    <w:p w14:paraId="46CFAFB9" w14:textId="77777777" w:rsidR="001A26BB" w:rsidRDefault="001A26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C5D6BB" w14:textId="77777777" w:rsidR="009316A6" w:rsidRPr="00E70DCE" w:rsidRDefault="00514CBA" w:rsidP="00D45ADF">
    <w:pPr>
      <w:pStyle w:val="a3"/>
      <w:tabs>
        <w:tab w:val="clear" w:pos="4513"/>
        <w:tab w:val="clear" w:pos="9026"/>
        <w:tab w:val="right" w:pos="10206"/>
      </w:tabs>
      <w:spacing w:after="240"/>
      <w:rPr>
        <w:rFonts w:cstheme="minorHAnsi"/>
        <w:color w:val="999999"/>
        <w:sz w:val="20"/>
        <w:szCs w:val="20"/>
      </w:rPr>
    </w:pPr>
    <w:r>
      <w:rPr>
        <w:noProof/>
        <w:lang w:eastAsia="en-GB"/>
      </w:rPr>
      <mc:AlternateContent>
        <mc:Choice Requires="wps">
          <w:drawing>
            <wp:anchor distT="0" distB="0" distL="114300" distR="114300" simplePos="0" relativeHeight="251668480" behindDoc="0" locked="0" layoutInCell="1" allowOverlap="1" wp14:anchorId="13524EC0" wp14:editId="57A3D1D9">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3C389A26"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524EC0" id="_x0000_t202" coordsize="21600,21600" o:spt="202" path="m,l,21600r21600,l21600,xe">
              <v:stroke joinstyle="miter"/>
              <v:path gradientshapeok="t" o:connecttype="rect"/>
            </v:shapetype>
            <v:shape id="_x0000_s1034"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" fillcolor="#a5a5a5 [2092]" stroked="f">
              <v:textbox>
                <w:txbxContent>
                  <w:p w14:paraId="3C389A26"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66432" behindDoc="0" locked="0" layoutInCell="1" allowOverlap="1" wp14:anchorId="42B65137" wp14:editId="67568D96">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A3F4DC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2B65137" id="_x0000_s1035"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" fillcolor="#a5a5a5 [2092]" stroked="f">
              <v:textbox>
                <w:txbxContent>
                  <w:p w14:paraId="2A3F4DC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F157DD">
      <w:rPr>
        <w:rFonts w:cstheme="minorHAnsi"/>
        <w:b/>
        <w:color w:val="999999"/>
        <w:sz w:val="20"/>
        <w:szCs w:val="20"/>
      </w:rPr>
      <w:t>ARTICLE</w:t>
    </w:r>
    <w:r w:rsidR="0052630A" w:rsidRPr="00E70DCE">
      <w:rPr>
        <w:rFonts w:cstheme="minorHAnsi"/>
        <w:color w:val="999999"/>
        <w:sz w:val="20"/>
        <w:szCs w:val="20"/>
      </w:rPr>
      <w:tab/>
    </w:r>
    <w:r w:rsidR="00672928">
      <w:rPr>
        <w:rFonts w:cstheme="minorHAnsi"/>
        <w:b/>
        <w:color w:val="999999"/>
        <w:sz w:val="20"/>
        <w:szCs w:val="20"/>
      </w:rPr>
      <w:t>Journal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8EC0D" w14:textId="77777777" w:rsidR="009316A6" w:rsidRPr="009316A6" w:rsidRDefault="00514CBA" w:rsidP="00D45ADF">
    <w:pPr>
      <w:pStyle w:val="a3"/>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72576" behindDoc="0" locked="0" layoutInCell="1" allowOverlap="1" wp14:anchorId="7E828ED4" wp14:editId="71AE44F6">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E9A329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828ED4" id="_x0000_t202" coordsize="21600,21600" o:spt="202" path="m,l,21600r21600,l21600,xe">
              <v:stroke joinstyle="miter"/>
              <v:path gradientshapeok="t" o:connecttype="rect"/>
            </v:shapetype>
            <v:shape id="_x0000_s1036"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" fillcolor="#a5a5a5 [2092]" stroked="f">
              <v:textbox>
                <w:txbxContent>
                  <w:p w14:paraId="0E9A329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t>Journal Name</w:t>
    </w:r>
    <w:r>
      <w:rPr>
        <w:noProof/>
        <w:lang w:eastAsia="en-GB"/>
      </w:rPr>
      <mc:AlternateContent>
        <mc:Choice Requires="wps">
          <w:drawing>
            <wp:anchor distT="0" distB="0" distL="114300" distR="114300" simplePos="0" relativeHeight="251670528" behindDoc="0" locked="0" layoutInCell="1" allowOverlap="1" wp14:anchorId="45988B93" wp14:editId="082F6A23">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390D4CCD"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988B93" id="_x0000_s1037"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" fillcolor="#a5a5a5 [2092]" stroked="f">
              <v:textbox>
                <w:txbxContent>
                  <w:p w14:paraId="390D4CCD"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ptab w:relativeTo="margin" w:alignment="right" w:leader="none"/>
    </w:r>
    <w:r w:rsidR="00E46BDF" w:rsidRPr="00E46BDF">
      <w:rPr>
        <w:rFonts w:cstheme="minorHAnsi"/>
        <w:b/>
        <w:color w:val="999999"/>
        <w:sz w:val="20"/>
        <w:szCs w:val="20"/>
      </w:rPr>
      <w:t xml:space="preserve"> </w:t>
    </w:r>
    <w:r w:rsidR="00F157DD">
      <w:rPr>
        <w:rFonts w:cstheme="minorHAnsi"/>
        <w:b/>
        <w:color w:val="999999"/>
        <w:sz w:val="20"/>
        <w:szCs w:val="20"/>
      </w:rPr>
      <w:t>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727CF2" w14:textId="77777777" w:rsidR="00180ABE" w:rsidRDefault="00514CBA" w:rsidP="00180ABE">
    <w:pPr>
      <w:pStyle w:val="a3"/>
      <w:shd w:val="clear" w:color="auto" w:fill="FFFFFF" w:themeFill="background1"/>
      <w:tabs>
        <w:tab w:val="clear" w:pos="4513"/>
        <w:tab w:val="clear" w:pos="9026"/>
        <w:tab w:val="right" w:pos="10205"/>
      </w:tabs>
      <w:spacing w:after="240"/>
      <w:rPr>
        <w:b/>
        <w:noProof/>
        <w:sz w:val="32"/>
        <w:szCs w:val="32"/>
        <w:lang w:eastAsia="en-GB"/>
      </w:rPr>
    </w:pPr>
    <w:r>
      <w:rPr>
        <w:noProof/>
        <w:lang w:eastAsia="en-GB"/>
      </w:rPr>
      <mc:AlternateContent>
        <mc:Choice Requires="wps">
          <w:drawing>
            <wp:anchor distT="0" distB="0" distL="114300" distR="114300" simplePos="0" relativeHeight="251662336" behindDoc="0" locked="0" layoutInCell="1" allowOverlap="1" wp14:anchorId="1E076B20" wp14:editId="1DA57D20">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0D533DE"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076B20" id="_x0000_t202" coordsize="21600,21600" o:spt="202" path="m,l,21600r21600,l21600,xe">
              <v:stroke joinstyle="miter"/>
              <v:path gradientshapeok="t" o:connecttype="rect"/>
            </v:shapetype>
            <v:shape id="_x0000_s1038"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" fillcolor="#a5a5a5 [2092]" stroked="f">
              <v:textbox>
                <w:txbxContent>
                  <w:p w14:paraId="40D533DE"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180ABE">
      <w:rPr>
        <w:b/>
        <w:sz w:val="32"/>
        <w:szCs w:val="32"/>
      </w:rPr>
      <w:tab/>
    </w:r>
  </w:p>
  <w:p w14:paraId="25301B85" w14:textId="77777777" w:rsidR="00BA42DD" w:rsidRDefault="00BA42DD" w:rsidP="00180ABE">
    <w:pPr>
      <w:pStyle w:val="a3"/>
      <w:shd w:val="clear" w:color="auto" w:fill="FFFFFF" w:themeFill="background1"/>
      <w:tabs>
        <w:tab w:val="clear" w:pos="4513"/>
        <w:tab w:val="clear" w:pos="9026"/>
        <w:tab w:val="right" w:pos="10205"/>
      </w:tabs>
      <w:spacing w:after="240"/>
      <w:rPr>
        <w:b/>
        <w:sz w:val="32"/>
        <w:szCs w:val="32"/>
      </w:rPr>
    </w:pPr>
  </w:p>
  <w:p w14:paraId="419C7B5B" w14:textId="77777777" w:rsidR="00180ABE" w:rsidRPr="00180ABE" w:rsidRDefault="00B70B18" w:rsidP="00180ABE">
    <w:pPr>
      <w:pStyle w:val="a3"/>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06FBA"/>
    <w:multiLevelType w:val="hybridMultilevel"/>
    <w:tmpl w:val="A07E7452"/>
    <w:lvl w:ilvl="0" w:tplc="305456D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4F15A1D"/>
    <w:multiLevelType w:val="hybridMultilevel"/>
    <w:tmpl w:val="F1DE7148"/>
    <w:lvl w:ilvl="0" w:tplc="F350F36A">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16241"/>
    <w:multiLevelType w:val="hybridMultilevel"/>
    <w:tmpl w:val="3F62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BA19DE"/>
    <w:multiLevelType w:val="hybridMultilevel"/>
    <w:tmpl w:val="29A8A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6DF18D5"/>
    <w:multiLevelType w:val="hybridMultilevel"/>
    <w:tmpl w:val="8E2EF818"/>
    <w:lvl w:ilvl="0" w:tplc="D8A6E1A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BCD4D4E"/>
    <w:multiLevelType w:val="hybridMultilevel"/>
    <w:tmpl w:val="C8C00290"/>
    <w:lvl w:ilvl="0" w:tplc="C40CAD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53BA2"/>
    <w:multiLevelType w:val="hybridMultilevel"/>
    <w:tmpl w:val="EBC8DC48"/>
    <w:lvl w:ilvl="0" w:tplc="D8A6E1A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675988">
    <w:abstractNumId w:val="0"/>
  </w:num>
  <w:num w:numId="2" w16cid:durableId="1502698826">
    <w:abstractNumId w:val="7"/>
  </w:num>
  <w:num w:numId="3" w16cid:durableId="280109219">
    <w:abstractNumId w:val="6"/>
  </w:num>
  <w:num w:numId="4" w16cid:durableId="1470825503">
    <w:abstractNumId w:val="13"/>
  </w:num>
  <w:num w:numId="5" w16cid:durableId="1243905841">
    <w:abstractNumId w:val="11"/>
  </w:num>
  <w:num w:numId="6" w16cid:durableId="1891917770">
    <w:abstractNumId w:val="3"/>
  </w:num>
  <w:num w:numId="7" w16cid:durableId="913666999">
    <w:abstractNumId w:val="8"/>
  </w:num>
  <w:num w:numId="8" w16cid:durableId="641733245">
    <w:abstractNumId w:val="4"/>
  </w:num>
  <w:num w:numId="9" w16cid:durableId="95753364">
    <w:abstractNumId w:val="2"/>
  </w:num>
  <w:num w:numId="10" w16cid:durableId="2144810253">
    <w:abstractNumId w:val="5"/>
  </w:num>
  <w:num w:numId="11" w16cid:durableId="1865244565">
    <w:abstractNumId w:val="10"/>
  </w:num>
  <w:num w:numId="12" w16cid:durableId="573129607">
    <w:abstractNumId w:val="12"/>
  </w:num>
  <w:num w:numId="13" w16cid:durableId="263651945">
    <w:abstractNumId w:val="1"/>
  </w:num>
  <w:num w:numId="14" w16cid:durableId="119776854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bordersDoNotSurroundHeader/>
  <w:bordersDoNotSurroundFooter/>
  <w:proofState w:spelling="clean" w:grammar="clean"/>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0"/>
  <w:defaultTabStop w:val="284"/>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A0"/>
    <w:rsid w:val="00001EBE"/>
    <w:rsid w:val="00003D56"/>
    <w:rsid w:val="000040FE"/>
    <w:rsid w:val="00005B8A"/>
    <w:rsid w:val="00005C6C"/>
    <w:rsid w:val="000064EE"/>
    <w:rsid w:val="00012367"/>
    <w:rsid w:val="000156A3"/>
    <w:rsid w:val="00016A81"/>
    <w:rsid w:val="00022D8A"/>
    <w:rsid w:val="00024165"/>
    <w:rsid w:val="000272F7"/>
    <w:rsid w:val="00030EDB"/>
    <w:rsid w:val="00031FBB"/>
    <w:rsid w:val="00033E11"/>
    <w:rsid w:val="000341ED"/>
    <w:rsid w:val="00034BE6"/>
    <w:rsid w:val="00034CAF"/>
    <w:rsid w:val="00035814"/>
    <w:rsid w:val="00036C34"/>
    <w:rsid w:val="0003744F"/>
    <w:rsid w:val="00040451"/>
    <w:rsid w:val="00041554"/>
    <w:rsid w:val="00045CBA"/>
    <w:rsid w:val="000508B1"/>
    <w:rsid w:val="00051648"/>
    <w:rsid w:val="000543D4"/>
    <w:rsid w:val="00055BAA"/>
    <w:rsid w:val="00056A41"/>
    <w:rsid w:val="00061611"/>
    <w:rsid w:val="000622D1"/>
    <w:rsid w:val="000635A4"/>
    <w:rsid w:val="0006498C"/>
    <w:rsid w:val="00064DF6"/>
    <w:rsid w:val="00065444"/>
    <w:rsid w:val="000662C8"/>
    <w:rsid w:val="00070E6D"/>
    <w:rsid w:val="000717EE"/>
    <w:rsid w:val="00071E41"/>
    <w:rsid w:val="00073639"/>
    <w:rsid w:val="00074920"/>
    <w:rsid w:val="00074F7C"/>
    <w:rsid w:val="0007781B"/>
    <w:rsid w:val="0008023D"/>
    <w:rsid w:val="0008200A"/>
    <w:rsid w:val="00082FED"/>
    <w:rsid w:val="00083969"/>
    <w:rsid w:val="00086B46"/>
    <w:rsid w:val="000876C6"/>
    <w:rsid w:val="000906F8"/>
    <w:rsid w:val="00092A52"/>
    <w:rsid w:val="00092FC6"/>
    <w:rsid w:val="0009572D"/>
    <w:rsid w:val="00097740"/>
    <w:rsid w:val="000A06E0"/>
    <w:rsid w:val="000A1C5D"/>
    <w:rsid w:val="000A1E8E"/>
    <w:rsid w:val="000A2670"/>
    <w:rsid w:val="000A311F"/>
    <w:rsid w:val="000A7B5E"/>
    <w:rsid w:val="000B0460"/>
    <w:rsid w:val="000B3E96"/>
    <w:rsid w:val="000B6611"/>
    <w:rsid w:val="000B68D4"/>
    <w:rsid w:val="000C0A9D"/>
    <w:rsid w:val="000C0B6C"/>
    <w:rsid w:val="000C3218"/>
    <w:rsid w:val="000C412F"/>
    <w:rsid w:val="000C5696"/>
    <w:rsid w:val="000C6B5B"/>
    <w:rsid w:val="000C7003"/>
    <w:rsid w:val="000C77A2"/>
    <w:rsid w:val="000D03BA"/>
    <w:rsid w:val="000D0636"/>
    <w:rsid w:val="000D185C"/>
    <w:rsid w:val="000D199A"/>
    <w:rsid w:val="000D2F4D"/>
    <w:rsid w:val="000D2FAC"/>
    <w:rsid w:val="000D4227"/>
    <w:rsid w:val="000D536E"/>
    <w:rsid w:val="000D5891"/>
    <w:rsid w:val="000D6963"/>
    <w:rsid w:val="000D6A07"/>
    <w:rsid w:val="000D6F5E"/>
    <w:rsid w:val="000E1651"/>
    <w:rsid w:val="000E20A5"/>
    <w:rsid w:val="000E238D"/>
    <w:rsid w:val="000E2735"/>
    <w:rsid w:val="000E3D53"/>
    <w:rsid w:val="000E7A32"/>
    <w:rsid w:val="000F019B"/>
    <w:rsid w:val="000F0959"/>
    <w:rsid w:val="000F135F"/>
    <w:rsid w:val="000F27D9"/>
    <w:rsid w:val="000F340A"/>
    <w:rsid w:val="000F3A41"/>
    <w:rsid w:val="000F4378"/>
    <w:rsid w:val="000F5136"/>
    <w:rsid w:val="00100447"/>
    <w:rsid w:val="00100BD9"/>
    <w:rsid w:val="0010113C"/>
    <w:rsid w:val="00102A5A"/>
    <w:rsid w:val="00105B24"/>
    <w:rsid w:val="0010689D"/>
    <w:rsid w:val="00111451"/>
    <w:rsid w:val="001121AC"/>
    <w:rsid w:val="00113BD3"/>
    <w:rsid w:val="001156A6"/>
    <w:rsid w:val="001163A2"/>
    <w:rsid w:val="00117CDB"/>
    <w:rsid w:val="00120227"/>
    <w:rsid w:val="0012028B"/>
    <w:rsid w:val="001229E8"/>
    <w:rsid w:val="00123DDC"/>
    <w:rsid w:val="001250A9"/>
    <w:rsid w:val="0012571B"/>
    <w:rsid w:val="00126027"/>
    <w:rsid w:val="001264CD"/>
    <w:rsid w:val="00127095"/>
    <w:rsid w:val="0012783D"/>
    <w:rsid w:val="00131859"/>
    <w:rsid w:val="0013431E"/>
    <w:rsid w:val="0013438F"/>
    <w:rsid w:val="00135D82"/>
    <w:rsid w:val="00140A2B"/>
    <w:rsid w:val="00143A4B"/>
    <w:rsid w:val="00143BE6"/>
    <w:rsid w:val="00144556"/>
    <w:rsid w:val="00144A16"/>
    <w:rsid w:val="001452D6"/>
    <w:rsid w:val="00146629"/>
    <w:rsid w:val="00147826"/>
    <w:rsid w:val="001508E9"/>
    <w:rsid w:val="00150BE8"/>
    <w:rsid w:val="00152A82"/>
    <w:rsid w:val="00152AE5"/>
    <w:rsid w:val="00153BF7"/>
    <w:rsid w:val="00153D5F"/>
    <w:rsid w:val="00157269"/>
    <w:rsid w:val="001610A3"/>
    <w:rsid w:val="001633D9"/>
    <w:rsid w:val="00172986"/>
    <w:rsid w:val="0017471A"/>
    <w:rsid w:val="0017568B"/>
    <w:rsid w:val="001773F2"/>
    <w:rsid w:val="001803B0"/>
    <w:rsid w:val="00180ABE"/>
    <w:rsid w:val="00181AA9"/>
    <w:rsid w:val="001838D0"/>
    <w:rsid w:val="00183B5D"/>
    <w:rsid w:val="001923AB"/>
    <w:rsid w:val="001925B0"/>
    <w:rsid w:val="00193D83"/>
    <w:rsid w:val="00195295"/>
    <w:rsid w:val="0019687C"/>
    <w:rsid w:val="001A03B2"/>
    <w:rsid w:val="001A0BD7"/>
    <w:rsid w:val="001A26BB"/>
    <w:rsid w:val="001A2DFC"/>
    <w:rsid w:val="001A3D04"/>
    <w:rsid w:val="001A5E30"/>
    <w:rsid w:val="001A65FD"/>
    <w:rsid w:val="001A7A4C"/>
    <w:rsid w:val="001A7D42"/>
    <w:rsid w:val="001B226B"/>
    <w:rsid w:val="001B57F1"/>
    <w:rsid w:val="001B7639"/>
    <w:rsid w:val="001B7B2F"/>
    <w:rsid w:val="001C142C"/>
    <w:rsid w:val="001C1D36"/>
    <w:rsid w:val="001C1EB8"/>
    <w:rsid w:val="001C224C"/>
    <w:rsid w:val="001C5386"/>
    <w:rsid w:val="001C75BD"/>
    <w:rsid w:val="001D5E4D"/>
    <w:rsid w:val="001E20FB"/>
    <w:rsid w:val="001E2C64"/>
    <w:rsid w:val="001E6436"/>
    <w:rsid w:val="001E7497"/>
    <w:rsid w:val="001E7CBF"/>
    <w:rsid w:val="001F05C4"/>
    <w:rsid w:val="001F07BD"/>
    <w:rsid w:val="001F2BD1"/>
    <w:rsid w:val="001F3A99"/>
    <w:rsid w:val="001F41D5"/>
    <w:rsid w:val="001F5314"/>
    <w:rsid w:val="001F6085"/>
    <w:rsid w:val="001F75EF"/>
    <w:rsid w:val="00204DA9"/>
    <w:rsid w:val="00206A82"/>
    <w:rsid w:val="002077E2"/>
    <w:rsid w:val="0020789D"/>
    <w:rsid w:val="002139D5"/>
    <w:rsid w:val="00214BEC"/>
    <w:rsid w:val="00220B17"/>
    <w:rsid w:val="0022114D"/>
    <w:rsid w:val="00221DB5"/>
    <w:rsid w:val="0022499C"/>
    <w:rsid w:val="0023384D"/>
    <w:rsid w:val="00233C75"/>
    <w:rsid w:val="002348F0"/>
    <w:rsid w:val="00237C8A"/>
    <w:rsid w:val="0024022C"/>
    <w:rsid w:val="00240353"/>
    <w:rsid w:val="00241441"/>
    <w:rsid w:val="00241ACD"/>
    <w:rsid w:val="00243857"/>
    <w:rsid w:val="0024642A"/>
    <w:rsid w:val="00247645"/>
    <w:rsid w:val="00250788"/>
    <w:rsid w:val="00251711"/>
    <w:rsid w:val="00252617"/>
    <w:rsid w:val="00253551"/>
    <w:rsid w:val="002556D4"/>
    <w:rsid w:val="002575A8"/>
    <w:rsid w:val="00261C09"/>
    <w:rsid w:val="00261DAD"/>
    <w:rsid w:val="002635B2"/>
    <w:rsid w:val="002637F7"/>
    <w:rsid w:val="00263941"/>
    <w:rsid w:val="002646C3"/>
    <w:rsid w:val="00266B0B"/>
    <w:rsid w:val="00267737"/>
    <w:rsid w:val="00270814"/>
    <w:rsid w:val="00270DD5"/>
    <w:rsid w:val="00271235"/>
    <w:rsid w:val="002712F1"/>
    <w:rsid w:val="00272D6F"/>
    <w:rsid w:val="00274C31"/>
    <w:rsid w:val="00276AE1"/>
    <w:rsid w:val="0028065C"/>
    <w:rsid w:val="00283951"/>
    <w:rsid w:val="00283B04"/>
    <w:rsid w:val="00283F06"/>
    <w:rsid w:val="0028459B"/>
    <w:rsid w:val="00287380"/>
    <w:rsid w:val="00291BB7"/>
    <w:rsid w:val="002949B8"/>
    <w:rsid w:val="00294A56"/>
    <w:rsid w:val="00297918"/>
    <w:rsid w:val="002A1BE8"/>
    <w:rsid w:val="002A40A1"/>
    <w:rsid w:val="002A5421"/>
    <w:rsid w:val="002A78C0"/>
    <w:rsid w:val="002B4601"/>
    <w:rsid w:val="002B51C5"/>
    <w:rsid w:val="002B62B5"/>
    <w:rsid w:val="002C0119"/>
    <w:rsid w:val="002C0803"/>
    <w:rsid w:val="002C19D0"/>
    <w:rsid w:val="002C1A46"/>
    <w:rsid w:val="002C251C"/>
    <w:rsid w:val="002C3D7C"/>
    <w:rsid w:val="002C55D5"/>
    <w:rsid w:val="002C5E54"/>
    <w:rsid w:val="002D6232"/>
    <w:rsid w:val="002E0885"/>
    <w:rsid w:val="002E1D90"/>
    <w:rsid w:val="002E4440"/>
    <w:rsid w:val="002E47E2"/>
    <w:rsid w:val="002E4EED"/>
    <w:rsid w:val="002E5B1D"/>
    <w:rsid w:val="002E6D17"/>
    <w:rsid w:val="002E767B"/>
    <w:rsid w:val="002F2103"/>
    <w:rsid w:val="002F38EC"/>
    <w:rsid w:val="002F52C3"/>
    <w:rsid w:val="002F6917"/>
    <w:rsid w:val="002F6964"/>
    <w:rsid w:val="00302A60"/>
    <w:rsid w:val="00304378"/>
    <w:rsid w:val="00304B53"/>
    <w:rsid w:val="0030563B"/>
    <w:rsid w:val="00305EB8"/>
    <w:rsid w:val="0030641F"/>
    <w:rsid w:val="00307EC9"/>
    <w:rsid w:val="00314FA9"/>
    <w:rsid w:val="003162E5"/>
    <w:rsid w:val="00316779"/>
    <w:rsid w:val="00317664"/>
    <w:rsid w:val="00317A0E"/>
    <w:rsid w:val="00323D92"/>
    <w:rsid w:val="0032523D"/>
    <w:rsid w:val="00327951"/>
    <w:rsid w:val="003336AA"/>
    <w:rsid w:val="0033397F"/>
    <w:rsid w:val="00334A40"/>
    <w:rsid w:val="00335AB5"/>
    <w:rsid w:val="003361ED"/>
    <w:rsid w:val="0033629C"/>
    <w:rsid w:val="00337C9C"/>
    <w:rsid w:val="00340454"/>
    <w:rsid w:val="00340F49"/>
    <w:rsid w:val="00343761"/>
    <w:rsid w:val="003465E0"/>
    <w:rsid w:val="00352029"/>
    <w:rsid w:val="00352AA4"/>
    <w:rsid w:val="00354579"/>
    <w:rsid w:val="00354C1E"/>
    <w:rsid w:val="00354CD8"/>
    <w:rsid w:val="00356D74"/>
    <w:rsid w:val="00356F00"/>
    <w:rsid w:val="00357EFC"/>
    <w:rsid w:val="00363359"/>
    <w:rsid w:val="00371BCE"/>
    <w:rsid w:val="00372634"/>
    <w:rsid w:val="003760FA"/>
    <w:rsid w:val="00377481"/>
    <w:rsid w:val="0037798A"/>
    <w:rsid w:val="0038503E"/>
    <w:rsid w:val="00385965"/>
    <w:rsid w:val="00385F8C"/>
    <w:rsid w:val="003862B1"/>
    <w:rsid w:val="003879D4"/>
    <w:rsid w:val="003909B2"/>
    <w:rsid w:val="003914CD"/>
    <w:rsid w:val="00393956"/>
    <w:rsid w:val="00394580"/>
    <w:rsid w:val="0039790E"/>
    <w:rsid w:val="003A178D"/>
    <w:rsid w:val="003A7E95"/>
    <w:rsid w:val="003B03DB"/>
    <w:rsid w:val="003B20C5"/>
    <w:rsid w:val="003B35E1"/>
    <w:rsid w:val="003B50AA"/>
    <w:rsid w:val="003B69FE"/>
    <w:rsid w:val="003B739C"/>
    <w:rsid w:val="003C1AD0"/>
    <w:rsid w:val="003C273A"/>
    <w:rsid w:val="003C32C4"/>
    <w:rsid w:val="003C469D"/>
    <w:rsid w:val="003C6313"/>
    <w:rsid w:val="003C7E9E"/>
    <w:rsid w:val="003D02BF"/>
    <w:rsid w:val="003D4ECA"/>
    <w:rsid w:val="003D6715"/>
    <w:rsid w:val="003D7A50"/>
    <w:rsid w:val="003E0CC8"/>
    <w:rsid w:val="003E1913"/>
    <w:rsid w:val="003E426C"/>
    <w:rsid w:val="003E53A3"/>
    <w:rsid w:val="003E55B2"/>
    <w:rsid w:val="003E7903"/>
    <w:rsid w:val="003E7E1B"/>
    <w:rsid w:val="003F0C43"/>
    <w:rsid w:val="003F1465"/>
    <w:rsid w:val="003F1557"/>
    <w:rsid w:val="003F7ABA"/>
    <w:rsid w:val="00401F4D"/>
    <w:rsid w:val="00403429"/>
    <w:rsid w:val="00403519"/>
    <w:rsid w:val="0040786B"/>
    <w:rsid w:val="00412EEA"/>
    <w:rsid w:val="00413103"/>
    <w:rsid w:val="004131CD"/>
    <w:rsid w:val="00413BD3"/>
    <w:rsid w:val="00414849"/>
    <w:rsid w:val="00415506"/>
    <w:rsid w:val="0041673A"/>
    <w:rsid w:val="00421816"/>
    <w:rsid w:val="00422601"/>
    <w:rsid w:val="00425640"/>
    <w:rsid w:val="00425C0E"/>
    <w:rsid w:val="00425C66"/>
    <w:rsid w:val="00426394"/>
    <w:rsid w:val="004265DC"/>
    <w:rsid w:val="004271CF"/>
    <w:rsid w:val="004276C3"/>
    <w:rsid w:val="00427A39"/>
    <w:rsid w:val="0043180D"/>
    <w:rsid w:val="00431EDD"/>
    <w:rsid w:val="00433881"/>
    <w:rsid w:val="0043512C"/>
    <w:rsid w:val="004355D0"/>
    <w:rsid w:val="004367C4"/>
    <w:rsid w:val="004374E1"/>
    <w:rsid w:val="00437BC5"/>
    <w:rsid w:val="004414A5"/>
    <w:rsid w:val="004416F6"/>
    <w:rsid w:val="004429F7"/>
    <w:rsid w:val="00442B26"/>
    <w:rsid w:val="004438C2"/>
    <w:rsid w:val="0044700B"/>
    <w:rsid w:val="00447063"/>
    <w:rsid w:val="00452C10"/>
    <w:rsid w:val="0045309F"/>
    <w:rsid w:val="00454884"/>
    <w:rsid w:val="004627E0"/>
    <w:rsid w:val="004630F2"/>
    <w:rsid w:val="004642CC"/>
    <w:rsid w:val="00465079"/>
    <w:rsid w:val="004658B3"/>
    <w:rsid w:val="004665DA"/>
    <w:rsid w:val="00467171"/>
    <w:rsid w:val="00467525"/>
    <w:rsid w:val="00467C80"/>
    <w:rsid w:val="0047035D"/>
    <w:rsid w:val="00470559"/>
    <w:rsid w:val="004718D2"/>
    <w:rsid w:val="004728F4"/>
    <w:rsid w:val="00473954"/>
    <w:rsid w:val="00473F28"/>
    <w:rsid w:val="00474052"/>
    <w:rsid w:val="004748D1"/>
    <w:rsid w:val="0047645B"/>
    <w:rsid w:val="00476BD8"/>
    <w:rsid w:val="00481738"/>
    <w:rsid w:val="004821E6"/>
    <w:rsid w:val="004838AD"/>
    <w:rsid w:val="00485167"/>
    <w:rsid w:val="004877C8"/>
    <w:rsid w:val="004901D3"/>
    <w:rsid w:val="00492CA0"/>
    <w:rsid w:val="00494CF2"/>
    <w:rsid w:val="00497F44"/>
    <w:rsid w:val="00497FA8"/>
    <w:rsid w:val="004A1927"/>
    <w:rsid w:val="004A2546"/>
    <w:rsid w:val="004A5DC9"/>
    <w:rsid w:val="004A721E"/>
    <w:rsid w:val="004B1517"/>
    <w:rsid w:val="004B29D5"/>
    <w:rsid w:val="004B5EA4"/>
    <w:rsid w:val="004B72F3"/>
    <w:rsid w:val="004C0FDC"/>
    <w:rsid w:val="004C2414"/>
    <w:rsid w:val="004C24A3"/>
    <w:rsid w:val="004C46E3"/>
    <w:rsid w:val="004C531E"/>
    <w:rsid w:val="004C6C90"/>
    <w:rsid w:val="004C7F86"/>
    <w:rsid w:val="004D01C0"/>
    <w:rsid w:val="004D246C"/>
    <w:rsid w:val="004D4AD6"/>
    <w:rsid w:val="004D7EE5"/>
    <w:rsid w:val="004D7F80"/>
    <w:rsid w:val="004E06C4"/>
    <w:rsid w:val="004E159E"/>
    <w:rsid w:val="004E25E0"/>
    <w:rsid w:val="004E5220"/>
    <w:rsid w:val="004E62B6"/>
    <w:rsid w:val="004E7FE0"/>
    <w:rsid w:val="004F07A2"/>
    <w:rsid w:val="004F0F4B"/>
    <w:rsid w:val="004F3CBE"/>
    <w:rsid w:val="004F48E4"/>
    <w:rsid w:val="004F68A9"/>
    <w:rsid w:val="004F7561"/>
    <w:rsid w:val="00501F3E"/>
    <w:rsid w:val="00502A8A"/>
    <w:rsid w:val="005037CD"/>
    <w:rsid w:val="005040B3"/>
    <w:rsid w:val="005044DB"/>
    <w:rsid w:val="00504795"/>
    <w:rsid w:val="00505449"/>
    <w:rsid w:val="0051036A"/>
    <w:rsid w:val="005130A1"/>
    <w:rsid w:val="005136F2"/>
    <w:rsid w:val="00514CBA"/>
    <w:rsid w:val="00515154"/>
    <w:rsid w:val="00515AB3"/>
    <w:rsid w:val="00516B6E"/>
    <w:rsid w:val="00520827"/>
    <w:rsid w:val="00522A13"/>
    <w:rsid w:val="00523687"/>
    <w:rsid w:val="005256D9"/>
    <w:rsid w:val="0052630A"/>
    <w:rsid w:val="00526E51"/>
    <w:rsid w:val="0053075C"/>
    <w:rsid w:val="005314A6"/>
    <w:rsid w:val="0053177A"/>
    <w:rsid w:val="00531B3F"/>
    <w:rsid w:val="00533EA1"/>
    <w:rsid w:val="005357B1"/>
    <w:rsid w:val="00536E33"/>
    <w:rsid w:val="005405B1"/>
    <w:rsid w:val="00540B6F"/>
    <w:rsid w:val="0054279A"/>
    <w:rsid w:val="00543B37"/>
    <w:rsid w:val="00544BC8"/>
    <w:rsid w:val="00545ACE"/>
    <w:rsid w:val="00546519"/>
    <w:rsid w:val="00546B29"/>
    <w:rsid w:val="00551B51"/>
    <w:rsid w:val="005540CA"/>
    <w:rsid w:val="00554413"/>
    <w:rsid w:val="00554DAA"/>
    <w:rsid w:val="00556F59"/>
    <w:rsid w:val="00561ED0"/>
    <w:rsid w:val="00563BAE"/>
    <w:rsid w:val="00571E2F"/>
    <w:rsid w:val="00573F2A"/>
    <w:rsid w:val="005771C3"/>
    <w:rsid w:val="00577B54"/>
    <w:rsid w:val="00582BF0"/>
    <w:rsid w:val="00584430"/>
    <w:rsid w:val="005850A1"/>
    <w:rsid w:val="00590CD4"/>
    <w:rsid w:val="00590F6D"/>
    <w:rsid w:val="00592B76"/>
    <w:rsid w:val="00595058"/>
    <w:rsid w:val="005973C7"/>
    <w:rsid w:val="005A031A"/>
    <w:rsid w:val="005A3E7F"/>
    <w:rsid w:val="005A5A6D"/>
    <w:rsid w:val="005A5ED7"/>
    <w:rsid w:val="005A6804"/>
    <w:rsid w:val="005B06F8"/>
    <w:rsid w:val="005B103C"/>
    <w:rsid w:val="005B35BC"/>
    <w:rsid w:val="005B35F7"/>
    <w:rsid w:val="005B549A"/>
    <w:rsid w:val="005B6FE8"/>
    <w:rsid w:val="005C061F"/>
    <w:rsid w:val="005C0CC7"/>
    <w:rsid w:val="005C1841"/>
    <w:rsid w:val="005C1A41"/>
    <w:rsid w:val="005C2737"/>
    <w:rsid w:val="005C4565"/>
    <w:rsid w:val="005C644E"/>
    <w:rsid w:val="005D315B"/>
    <w:rsid w:val="005D7752"/>
    <w:rsid w:val="005D7C46"/>
    <w:rsid w:val="005E05CD"/>
    <w:rsid w:val="005E1698"/>
    <w:rsid w:val="005E2258"/>
    <w:rsid w:val="005E33BE"/>
    <w:rsid w:val="005E56AF"/>
    <w:rsid w:val="005F0761"/>
    <w:rsid w:val="005F1E6C"/>
    <w:rsid w:val="005F27A0"/>
    <w:rsid w:val="005F5B49"/>
    <w:rsid w:val="005F5C4E"/>
    <w:rsid w:val="00601B72"/>
    <w:rsid w:val="00604E0C"/>
    <w:rsid w:val="0060627E"/>
    <w:rsid w:val="00607205"/>
    <w:rsid w:val="00607C84"/>
    <w:rsid w:val="00610984"/>
    <w:rsid w:val="00611348"/>
    <w:rsid w:val="00612DA1"/>
    <w:rsid w:val="006144D2"/>
    <w:rsid w:val="00614B8F"/>
    <w:rsid w:val="0061572F"/>
    <w:rsid w:val="00616D34"/>
    <w:rsid w:val="00616E50"/>
    <w:rsid w:val="00616F26"/>
    <w:rsid w:val="006205A3"/>
    <w:rsid w:val="00622B23"/>
    <w:rsid w:val="00622B2F"/>
    <w:rsid w:val="00631441"/>
    <w:rsid w:val="006318C9"/>
    <w:rsid w:val="006330F7"/>
    <w:rsid w:val="00633B16"/>
    <w:rsid w:val="00634CC6"/>
    <w:rsid w:val="00637C62"/>
    <w:rsid w:val="00641030"/>
    <w:rsid w:val="00641A3B"/>
    <w:rsid w:val="0064279E"/>
    <w:rsid w:val="00643A6C"/>
    <w:rsid w:val="00645D52"/>
    <w:rsid w:val="0064722F"/>
    <w:rsid w:val="00647DF9"/>
    <w:rsid w:val="0065133B"/>
    <w:rsid w:val="006543DB"/>
    <w:rsid w:val="00654F8B"/>
    <w:rsid w:val="006556AC"/>
    <w:rsid w:val="006602F1"/>
    <w:rsid w:val="00662F43"/>
    <w:rsid w:val="00670ED4"/>
    <w:rsid w:val="00672928"/>
    <w:rsid w:val="00672E58"/>
    <w:rsid w:val="006745FA"/>
    <w:rsid w:val="00674A86"/>
    <w:rsid w:val="006831AD"/>
    <w:rsid w:val="006865E2"/>
    <w:rsid w:val="006A1E94"/>
    <w:rsid w:val="006A2221"/>
    <w:rsid w:val="006A5F26"/>
    <w:rsid w:val="006A69C8"/>
    <w:rsid w:val="006B0115"/>
    <w:rsid w:val="006B06B3"/>
    <w:rsid w:val="006B1A0E"/>
    <w:rsid w:val="006B218D"/>
    <w:rsid w:val="006B391A"/>
    <w:rsid w:val="006B3AB4"/>
    <w:rsid w:val="006B3D07"/>
    <w:rsid w:val="006B433F"/>
    <w:rsid w:val="006B43CC"/>
    <w:rsid w:val="006B4EFF"/>
    <w:rsid w:val="006B64C3"/>
    <w:rsid w:val="006C0BE6"/>
    <w:rsid w:val="006C260F"/>
    <w:rsid w:val="006C44A8"/>
    <w:rsid w:val="006C5150"/>
    <w:rsid w:val="006D1241"/>
    <w:rsid w:val="006D3386"/>
    <w:rsid w:val="006D5B10"/>
    <w:rsid w:val="006D6163"/>
    <w:rsid w:val="006D7534"/>
    <w:rsid w:val="006E04BC"/>
    <w:rsid w:val="006E1817"/>
    <w:rsid w:val="006E1905"/>
    <w:rsid w:val="006E1FFA"/>
    <w:rsid w:val="006E514C"/>
    <w:rsid w:val="006E58B1"/>
    <w:rsid w:val="006E61F3"/>
    <w:rsid w:val="006E6AD0"/>
    <w:rsid w:val="006F01C4"/>
    <w:rsid w:val="006F0F35"/>
    <w:rsid w:val="006F487B"/>
    <w:rsid w:val="006F6AA5"/>
    <w:rsid w:val="006F740B"/>
    <w:rsid w:val="007067B5"/>
    <w:rsid w:val="00706A59"/>
    <w:rsid w:val="0071062C"/>
    <w:rsid w:val="007126A1"/>
    <w:rsid w:val="00715B99"/>
    <w:rsid w:val="00715C83"/>
    <w:rsid w:val="00717030"/>
    <w:rsid w:val="0072055A"/>
    <w:rsid w:val="007249F0"/>
    <w:rsid w:val="007266A1"/>
    <w:rsid w:val="00727A99"/>
    <w:rsid w:val="007322C5"/>
    <w:rsid w:val="0073335F"/>
    <w:rsid w:val="00737846"/>
    <w:rsid w:val="00737AF2"/>
    <w:rsid w:val="00742A53"/>
    <w:rsid w:val="007438C0"/>
    <w:rsid w:val="00744A41"/>
    <w:rsid w:val="00745593"/>
    <w:rsid w:val="007465A8"/>
    <w:rsid w:val="007507D8"/>
    <w:rsid w:val="0075792F"/>
    <w:rsid w:val="007579A4"/>
    <w:rsid w:val="00757CA3"/>
    <w:rsid w:val="00761F04"/>
    <w:rsid w:val="00765F44"/>
    <w:rsid w:val="007743BB"/>
    <w:rsid w:val="0077591F"/>
    <w:rsid w:val="00777DB4"/>
    <w:rsid w:val="00780A41"/>
    <w:rsid w:val="00780CF3"/>
    <w:rsid w:val="007831C4"/>
    <w:rsid w:val="0078497B"/>
    <w:rsid w:val="00786883"/>
    <w:rsid w:val="0079134A"/>
    <w:rsid w:val="00793B49"/>
    <w:rsid w:val="00794787"/>
    <w:rsid w:val="00795AC8"/>
    <w:rsid w:val="00796561"/>
    <w:rsid w:val="007A0222"/>
    <w:rsid w:val="007A0A32"/>
    <w:rsid w:val="007A0FFC"/>
    <w:rsid w:val="007A10F1"/>
    <w:rsid w:val="007A37D8"/>
    <w:rsid w:val="007A58D1"/>
    <w:rsid w:val="007A770D"/>
    <w:rsid w:val="007A7FDD"/>
    <w:rsid w:val="007B5A40"/>
    <w:rsid w:val="007B5EC4"/>
    <w:rsid w:val="007B71A5"/>
    <w:rsid w:val="007B79A7"/>
    <w:rsid w:val="007C0113"/>
    <w:rsid w:val="007C03A3"/>
    <w:rsid w:val="007C03DC"/>
    <w:rsid w:val="007C06C6"/>
    <w:rsid w:val="007C1826"/>
    <w:rsid w:val="007C1BDC"/>
    <w:rsid w:val="007C3D03"/>
    <w:rsid w:val="007C41BF"/>
    <w:rsid w:val="007C428B"/>
    <w:rsid w:val="007C4D02"/>
    <w:rsid w:val="007D080B"/>
    <w:rsid w:val="007D08CB"/>
    <w:rsid w:val="007D1841"/>
    <w:rsid w:val="007D1EFA"/>
    <w:rsid w:val="007D4004"/>
    <w:rsid w:val="007D5FE4"/>
    <w:rsid w:val="007D63CA"/>
    <w:rsid w:val="007D6A0D"/>
    <w:rsid w:val="007D703D"/>
    <w:rsid w:val="007E3D0D"/>
    <w:rsid w:val="007E3E18"/>
    <w:rsid w:val="007E44FD"/>
    <w:rsid w:val="007F0110"/>
    <w:rsid w:val="007F0E8A"/>
    <w:rsid w:val="007F680D"/>
    <w:rsid w:val="007F75C8"/>
    <w:rsid w:val="008007CD"/>
    <w:rsid w:val="008045C7"/>
    <w:rsid w:val="008076BF"/>
    <w:rsid w:val="0081092B"/>
    <w:rsid w:val="008117A6"/>
    <w:rsid w:val="008125A0"/>
    <w:rsid w:val="00813154"/>
    <w:rsid w:val="008139E6"/>
    <w:rsid w:val="00817104"/>
    <w:rsid w:val="00817E95"/>
    <w:rsid w:val="00817F47"/>
    <w:rsid w:val="00820D56"/>
    <w:rsid w:val="00821390"/>
    <w:rsid w:val="00822621"/>
    <w:rsid w:val="0082386E"/>
    <w:rsid w:val="00823B02"/>
    <w:rsid w:val="00825A1E"/>
    <w:rsid w:val="00826D23"/>
    <w:rsid w:val="00831F48"/>
    <w:rsid w:val="00831F56"/>
    <w:rsid w:val="00832766"/>
    <w:rsid w:val="00833B93"/>
    <w:rsid w:val="00840018"/>
    <w:rsid w:val="008417E8"/>
    <w:rsid w:val="008442F1"/>
    <w:rsid w:val="00846630"/>
    <w:rsid w:val="00846BCF"/>
    <w:rsid w:val="00850147"/>
    <w:rsid w:val="00851AEC"/>
    <w:rsid w:val="00852E94"/>
    <w:rsid w:val="00853F1F"/>
    <w:rsid w:val="00854C79"/>
    <w:rsid w:val="008560DE"/>
    <w:rsid w:val="008576CB"/>
    <w:rsid w:val="00860724"/>
    <w:rsid w:val="008653EE"/>
    <w:rsid w:val="00866511"/>
    <w:rsid w:val="008734BC"/>
    <w:rsid w:val="00877071"/>
    <w:rsid w:val="00881C61"/>
    <w:rsid w:val="00884FE8"/>
    <w:rsid w:val="0088525A"/>
    <w:rsid w:val="00885B0E"/>
    <w:rsid w:val="00891177"/>
    <w:rsid w:val="00891C7E"/>
    <w:rsid w:val="00893702"/>
    <w:rsid w:val="00893A5B"/>
    <w:rsid w:val="00895ADE"/>
    <w:rsid w:val="008A0D60"/>
    <w:rsid w:val="008A71E6"/>
    <w:rsid w:val="008B208B"/>
    <w:rsid w:val="008B2839"/>
    <w:rsid w:val="008B3B52"/>
    <w:rsid w:val="008B5976"/>
    <w:rsid w:val="008B7D27"/>
    <w:rsid w:val="008C1387"/>
    <w:rsid w:val="008C2802"/>
    <w:rsid w:val="008C3045"/>
    <w:rsid w:val="008C45FB"/>
    <w:rsid w:val="008C4C69"/>
    <w:rsid w:val="008C5345"/>
    <w:rsid w:val="008C5EDB"/>
    <w:rsid w:val="008C60B6"/>
    <w:rsid w:val="008C682F"/>
    <w:rsid w:val="008D1D8D"/>
    <w:rsid w:val="008D2635"/>
    <w:rsid w:val="008D2A5B"/>
    <w:rsid w:val="008D3113"/>
    <w:rsid w:val="008D4549"/>
    <w:rsid w:val="008D6A0B"/>
    <w:rsid w:val="008E1BD2"/>
    <w:rsid w:val="008E509B"/>
    <w:rsid w:val="008E51F5"/>
    <w:rsid w:val="008E58D2"/>
    <w:rsid w:val="008E648E"/>
    <w:rsid w:val="008F1ECC"/>
    <w:rsid w:val="008F4811"/>
    <w:rsid w:val="008F4B69"/>
    <w:rsid w:val="008F525A"/>
    <w:rsid w:val="008F6ADE"/>
    <w:rsid w:val="009003F3"/>
    <w:rsid w:val="009026D4"/>
    <w:rsid w:val="009038C3"/>
    <w:rsid w:val="009047BB"/>
    <w:rsid w:val="00905393"/>
    <w:rsid w:val="00907409"/>
    <w:rsid w:val="00911792"/>
    <w:rsid w:val="009125DA"/>
    <w:rsid w:val="00917164"/>
    <w:rsid w:val="009233C9"/>
    <w:rsid w:val="00924BD9"/>
    <w:rsid w:val="009250AC"/>
    <w:rsid w:val="0092763E"/>
    <w:rsid w:val="009316A6"/>
    <w:rsid w:val="00934431"/>
    <w:rsid w:val="00936114"/>
    <w:rsid w:val="00937AFD"/>
    <w:rsid w:val="009400E9"/>
    <w:rsid w:val="0094403D"/>
    <w:rsid w:val="009465F2"/>
    <w:rsid w:val="00946830"/>
    <w:rsid w:val="00947448"/>
    <w:rsid w:val="009479E8"/>
    <w:rsid w:val="00950F2E"/>
    <w:rsid w:val="00952242"/>
    <w:rsid w:val="00954D9B"/>
    <w:rsid w:val="00960F7B"/>
    <w:rsid w:val="00962779"/>
    <w:rsid w:val="0096423F"/>
    <w:rsid w:val="009654EC"/>
    <w:rsid w:val="00965CDB"/>
    <w:rsid w:val="0097149B"/>
    <w:rsid w:val="00971BE6"/>
    <w:rsid w:val="00972157"/>
    <w:rsid w:val="009721F5"/>
    <w:rsid w:val="009739D1"/>
    <w:rsid w:val="009754B0"/>
    <w:rsid w:val="00976799"/>
    <w:rsid w:val="00976AFB"/>
    <w:rsid w:val="009772C1"/>
    <w:rsid w:val="00977518"/>
    <w:rsid w:val="009808C7"/>
    <w:rsid w:val="00980CDB"/>
    <w:rsid w:val="009813D5"/>
    <w:rsid w:val="00981EEB"/>
    <w:rsid w:val="00983115"/>
    <w:rsid w:val="00983A29"/>
    <w:rsid w:val="009841E8"/>
    <w:rsid w:val="00986485"/>
    <w:rsid w:val="00987014"/>
    <w:rsid w:val="00987FFE"/>
    <w:rsid w:val="0099114E"/>
    <w:rsid w:val="009918D9"/>
    <w:rsid w:val="00991C69"/>
    <w:rsid w:val="00993EBC"/>
    <w:rsid w:val="009A392D"/>
    <w:rsid w:val="009A3AD0"/>
    <w:rsid w:val="009A3B9C"/>
    <w:rsid w:val="009A47A8"/>
    <w:rsid w:val="009A5B23"/>
    <w:rsid w:val="009A7810"/>
    <w:rsid w:val="009B0AAF"/>
    <w:rsid w:val="009B299B"/>
    <w:rsid w:val="009B3D93"/>
    <w:rsid w:val="009B431A"/>
    <w:rsid w:val="009B747F"/>
    <w:rsid w:val="009C15F3"/>
    <w:rsid w:val="009C2838"/>
    <w:rsid w:val="009C3F18"/>
    <w:rsid w:val="009C4132"/>
    <w:rsid w:val="009C6044"/>
    <w:rsid w:val="009C68C5"/>
    <w:rsid w:val="009D17C3"/>
    <w:rsid w:val="009D210D"/>
    <w:rsid w:val="009D2EE9"/>
    <w:rsid w:val="009D3ED7"/>
    <w:rsid w:val="009D3F4A"/>
    <w:rsid w:val="009D47C2"/>
    <w:rsid w:val="009D7993"/>
    <w:rsid w:val="009E420A"/>
    <w:rsid w:val="009E51F8"/>
    <w:rsid w:val="009E62B3"/>
    <w:rsid w:val="009F07EF"/>
    <w:rsid w:val="009F1B61"/>
    <w:rsid w:val="009F2649"/>
    <w:rsid w:val="009F4985"/>
    <w:rsid w:val="009F71DD"/>
    <w:rsid w:val="00A01921"/>
    <w:rsid w:val="00A05364"/>
    <w:rsid w:val="00A058B9"/>
    <w:rsid w:val="00A074D7"/>
    <w:rsid w:val="00A07F46"/>
    <w:rsid w:val="00A101AB"/>
    <w:rsid w:val="00A13468"/>
    <w:rsid w:val="00A13A08"/>
    <w:rsid w:val="00A17D23"/>
    <w:rsid w:val="00A208E1"/>
    <w:rsid w:val="00A23C22"/>
    <w:rsid w:val="00A2410A"/>
    <w:rsid w:val="00A31708"/>
    <w:rsid w:val="00A31D77"/>
    <w:rsid w:val="00A34970"/>
    <w:rsid w:val="00A35F13"/>
    <w:rsid w:val="00A37039"/>
    <w:rsid w:val="00A37598"/>
    <w:rsid w:val="00A4112D"/>
    <w:rsid w:val="00A41F5E"/>
    <w:rsid w:val="00A440DC"/>
    <w:rsid w:val="00A44343"/>
    <w:rsid w:val="00A469DF"/>
    <w:rsid w:val="00A47D31"/>
    <w:rsid w:val="00A50409"/>
    <w:rsid w:val="00A50990"/>
    <w:rsid w:val="00A51935"/>
    <w:rsid w:val="00A521AB"/>
    <w:rsid w:val="00A540FD"/>
    <w:rsid w:val="00A562A8"/>
    <w:rsid w:val="00A56CD0"/>
    <w:rsid w:val="00A60BB6"/>
    <w:rsid w:val="00A61D3E"/>
    <w:rsid w:val="00A70B16"/>
    <w:rsid w:val="00A70B86"/>
    <w:rsid w:val="00A726E9"/>
    <w:rsid w:val="00A73868"/>
    <w:rsid w:val="00A74C84"/>
    <w:rsid w:val="00A75AB1"/>
    <w:rsid w:val="00A7643E"/>
    <w:rsid w:val="00A77AB7"/>
    <w:rsid w:val="00A80A72"/>
    <w:rsid w:val="00A83343"/>
    <w:rsid w:val="00A83A4A"/>
    <w:rsid w:val="00A87280"/>
    <w:rsid w:val="00A90B10"/>
    <w:rsid w:val="00A912D4"/>
    <w:rsid w:val="00A91C34"/>
    <w:rsid w:val="00A927EB"/>
    <w:rsid w:val="00A93BC9"/>
    <w:rsid w:val="00A93F26"/>
    <w:rsid w:val="00A94581"/>
    <w:rsid w:val="00A954CB"/>
    <w:rsid w:val="00A9649E"/>
    <w:rsid w:val="00A969AD"/>
    <w:rsid w:val="00A96B16"/>
    <w:rsid w:val="00AA1341"/>
    <w:rsid w:val="00AA2337"/>
    <w:rsid w:val="00AA2D23"/>
    <w:rsid w:val="00AA37A5"/>
    <w:rsid w:val="00AA5909"/>
    <w:rsid w:val="00AB0639"/>
    <w:rsid w:val="00AB15BB"/>
    <w:rsid w:val="00AB16D0"/>
    <w:rsid w:val="00AB2C1B"/>
    <w:rsid w:val="00AB3243"/>
    <w:rsid w:val="00AB647C"/>
    <w:rsid w:val="00AC3BF2"/>
    <w:rsid w:val="00AC4413"/>
    <w:rsid w:val="00AD2985"/>
    <w:rsid w:val="00AD4C8B"/>
    <w:rsid w:val="00AD5483"/>
    <w:rsid w:val="00AD57FB"/>
    <w:rsid w:val="00AD6C03"/>
    <w:rsid w:val="00AD6D3D"/>
    <w:rsid w:val="00AE2D99"/>
    <w:rsid w:val="00AE48F8"/>
    <w:rsid w:val="00AE66B0"/>
    <w:rsid w:val="00AF0249"/>
    <w:rsid w:val="00AF150F"/>
    <w:rsid w:val="00AF398D"/>
    <w:rsid w:val="00AF3E68"/>
    <w:rsid w:val="00AF4737"/>
    <w:rsid w:val="00AF6D26"/>
    <w:rsid w:val="00AF7838"/>
    <w:rsid w:val="00AF7FB4"/>
    <w:rsid w:val="00B01621"/>
    <w:rsid w:val="00B0470A"/>
    <w:rsid w:val="00B04EAE"/>
    <w:rsid w:val="00B07066"/>
    <w:rsid w:val="00B114C5"/>
    <w:rsid w:val="00B1177B"/>
    <w:rsid w:val="00B20135"/>
    <w:rsid w:val="00B222DB"/>
    <w:rsid w:val="00B2364D"/>
    <w:rsid w:val="00B24B59"/>
    <w:rsid w:val="00B25FB3"/>
    <w:rsid w:val="00B271DD"/>
    <w:rsid w:val="00B31AF4"/>
    <w:rsid w:val="00B3329E"/>
    <w:rsid w:val="00B33393"/>
    <w:rsid w:val="00B34ABB"/>
    <w:rsid w:val="00B35985"/>
    <w:rsid w:val="00B368A5"/>
    <w:rsid w:val="00B4037E"/>
    <w:rsid w:val="00B42287"/>
    <w:rsid w:val="00B42F2D"/>
    <w:rsid w:val="00B4637F"/>
    <w:rsid w:val="00B50509"/>
    <w:rsid w:val="00B50B85"/>
    <w:rsid w:val="00B524DC"/>
    <w:rsid w:val="00B52C0A"/>
    <w:rsid w:val="00B53582"/>
    <w:rsid w:val="00B5523F"/>
    <w:rsid w:val="00B5570E"/>
    <w:rsid w:val="00B56C74"/>
    <w:rsid w:val="00B6239D"/>
    <w:rsid w:val="00B626D2"/>
    <w:rsid w:val="00B63DEE"/>
    <w:rsid w:val="00B65E50"/>
    <w:rsid w:val="00B67377"/>
    <w:rsid w:val="00B67630"/>
    <w:rsid w:val="00B70B18"/>
    <w:rsid w:val="00B70FCF"/>
    <w:rsid w:val="00B722DE"/>
    <w:rsid w:val="00B741FC"/>
    <w:rsid w:val="00B74C4C"/>
    <w:rsid w:val="00B7797C"/>
    <w:rsid w:val="00B779B9"/>
    <w:rsid w:val="00B80DDB"/>
    <w:rsid w:val="00B81B03"/>
    <w:rsid w:val="00B81EE1"/>
    <w:rsid w:val="00B830AC"/>
    <w:rsid w:val="00B8363C"/>
    <w:rsid w:val="00B84688"/>
    <w:rsid w:val="00B84BC7"/>
    <w:rsid w:val="00B85F9E"/>
    <w:rsid w:val="00B91878"/>
    <w:rsid w:val="00B9392D"/>
    <w:rsid w:val="00B93933"/>
    <w:rsid w:val="00B93C95"/>
    <w:rsid w:val="00B94586"/>
    <w:rsid w:val="00B94B74"/>
    <w:rsid w:val="00B955BC"/>
    <w:rsid w:val="00BA0844"/>
    <w:rsid w:val="00BA135B"/>
    <w:rsid w:val="00BA137A"/>
    <w:rsid w:val="00BA1A6E"/>
    <w:rsid w:val="00BA2FAB"/>
    <w:rsid w:val="00BA355E"/>
    <w:rsid w:val="00BA3789"/>
    <w:rsid w:val="00BA3E43"/>
    <w:rsid w:val="00BA42DD"/>
    <w:rsid w:val="00BA761E"/>
    <w:rsid w:val="00BA7FAB"/>
    <w:rsid w:val="00BB146A"/>
    <w:rsid w:val="00BB178C"/>
    <w:rsid w:val="00BB39E0"/>
    <w:rsid w:val="00BB3FBE"/>
    <w:rsid w:val="00BB5641"/>
    <w:rsid w:val="00BC0714"/>
    <w:rsid w:val="00BC1FDA"/>
    <w:rsid w:val="00BC5245"/>
    <w:rsid w:val="00BC5F88"/>
    <w:rsid w:val="00BC603D"/>
    <w:rsid w:val="00BD1050"/>
    <w:rsid w:val="00BD4D4C"/>
    <w:rsid w:val="00BE12B0"/>
    <w:rsid w:val="00BE2A07"/>
    <w:rsid w:val="00BE7DAA"/>
    <w:rsid w:val="00BF2C47"/>
    <w:rsid w:val="00BF3449"/>
    <w:rsid w:val="00BF4B2C"/>
    <w:rsid w:val="00C016D6"/>
    <w:rsid w:val="00C02AAD"/>
    <w:rsid w:val="00C03CE1"/>
    <w:rsid w:val="00C05148"/>
    <w:rsid w:val="00C051C6"/>
    <w:rsid w:val="00C0536B"/>
    <w:rsid w:val="00C07355"/>
    <w:rsid w:val="00C133B9"/>
    <w:rsid w:val="00C21759"/>
    <w:rsid w:val="00C21BAD"/>
    <w:rsid w:val="00C21BEC"/>
    <w:rsid w:val="00C2376E"/>
    <w:rsid w:val="00C23E5D"/>
    <w:rsid w:val="00C24E91"/>
    <w:rsid w:val="00C3016F"/>
    <w:rsid w:val="00C31922"/>
    <w:rsid w:val="00C32EDF"/>
    <w:rsid w:val="00C405FD"/>
    <w:rsid w:val="00C41171"/>
    <w:rsid w:val="00C4220B"/>
    <w:rsid w:val="00C42573"/>
    <w:rsid w:val="00C431FA"/>
    <w:rsid w:val="00C4415F"/>
    <w:rsid w:val="00C4708F"/>
    <w:rsid w:val="00C50097"/>
    <w:rsid w:val="00C5017A"/>
    <w:rsid w:val="00C5024A"/>
    <w:rsid w:val="00C53721"/>
    <w:rsid w:val="00C53CE9"/>
    <w:rsid w:val="00C542B3"/>
    <w:rsid w:val="00C54C81"/>
    <w:rsid w:val="00C55420"/>
    <w:rsid w:val="00C55B09"/>
    <w:rsid w:val="00C56B85"/>
    <w:rsid w:val="00C57107"/>
    <w:rsid w:val="00C57507"/>
    <w:rsid w:val="00C62C2D"/>
    <w:rsid w:val="00C63BDD"/>
    <w:rsid w:val="00C656B2"/>
    <w:rsid w:val="00C663DE"/>
    <w:rsid w:val="00C66E90"/>
    <w:rsid w:val="00C705E2"/>
    <w:rsid w:val="00C706AB"/>
    <w:rsid w:val="00C72747"/>
    <w:rsid w:val="00C7352B"/>
    <w:rsid w:val="00C774FC"/>
    <w:rsid w:val="00C804BB"/>
    <w:rsid w:val="00C818DE"/>
    <w:rsid w:val="00C82482"/>
    <w:rsid w:val="00C835F7"/>
    <w:rsid w:val="00C83B75"/>
    <w:rsid w:val="00C86B1E"/>
    <w:rsid w:val="00C8705B"/>
    <w:rsid w:val="00C87809"/>
    <w:rsid w:val="00C913E6"/>
    <w:rsid w:val="00C919F9"/>
    <w:rsid w:val="00C9227C"/>
    <w:rsid w:val="00C92B87"/>
    <w:rsid w:val="00C953C3"/>
    <w:rsid w:val="00C9557D"/>
    <w:rsid w:val="00CA1E73"/>
    <w:rsid w:val="00CA2740"/>
    <w:rsid w:val="00CA7DD3"/>
    <w:rsid w:val="00CB02AD"/>
    <w:rsid w:val="00CB0325"/>
    <w:rsid w:val="00CB4457"/>
    <w:rsid w:val="00CB762C"/>
    <w:rsid w:val="00CB7763"/>
    <w:rsid w:val="00CC12E6"/>
    <w:rsid w:val="00CC1CC6"/>
    <w:rsid w:val="00CC2E25"/>
    <w:rsid w:val="00CC39F6"/>
    <w:rsid w:val="00CC4F80"/>
    <w:rsid w:val="00CC5501"/>
    <w:rsid w:val="00CC7C64"/>
    <w:rsid w:val="00CD0B47"/>
    <w:rsid w:val="00CD14E8"/>
    <w:rsid w:val="00CD336A"/>
    <w:rsid w:val="00CD4993"/>
    <w:rsid w:val="00CD4A2A"/>
    <w:rsid w:val="00CD7B90"/>
    <w:rsid w:val="00CD7C36"/>
    <w:rsid w:val="00CE0964"/>
    <w:rsid w:val="00CE1E66"/>
    <w:rsid w:val="00CE2C33"/>
    <w:rsid w:val="00CE30CB"/>
    <w:rsid w:val="00CE59FF"/>
    <w:rsid w:val="00CF00BE"/>
    <w:rsid w:val="00CF5032"/>
    <w:rsid w:val="00CF5F1A"/>
    <w:rsid w:val="00CF6574"/>
    <w:rsid w:val="00CF6A22"/>
    <w:rsid w:val="00CF7EF3"/>
    <w:rsid w:val="00D00E8F"/>
    <w:rsid w:val="00D010E8"/>
    <w:rsid w:val="00D020C9"/>
    <w:rsid w:val="00D0275D"/>
    <w:rsid w:val="00D02C04"/>
    <w:rsid w:val="00D04A8F"/>
    <w:rsid w:val="00D04B53"/>
    <w:rsid w:val="00D064A2"/>
    <w:rsid w:val="00D065DA"/>
    <w:rsid w:val="00D11802"/>
    <w:rsid w:val="00D138E8"/>
    <w:rsid w:val="00D16188"/>
    <w:rsid w:val="00D20259"/>
    <w:rsid w:val="00D208BA"/>
    <w:rsid w:val="00D21668"/>
    <w:rsid w:val="00D216BC"/>
    <w:rsid w:val="00D22228"/>
    <w:rsid w:val="00D23277"/>
    <w:rsid w:val="00D23EFD"/>
    <w:rsid w:val="00D24012"/>
    <w:rsid w:val="00D244D4"/>
    <w:rsid w:val="00D271AD"/>
    <w:rsid w:val="00D274BD"/>
    <w:rsid w:val="00D32C62"/>
    <w:rsid w:val="00D3337E"/>
    <w:rsid w:val="00D366F2"/>
    <w:rsid w:val="00D414E8"/>
    <w:rsid w:val="00D42F8F"/>
    <w:rsid w:val="00D45ADF"/>
    <w:rsid w:val="00D46B84"/>
    <w:rsid w:val="00D51B17"/>
    <w:rsid w:val="00D55464"/>
    <w:rsid w:val="00D55818"/>
    <w:rsid w:val="00D573D3"/>
    <w:rsid w:val="00D6017C"/>
    <w:rsid w:val="00D6267C"/>
    <w:rsid w:val="00D63427"/>
    <w:rsid w:val="00D64C2B"/>
    <w:rsid w:val="00D701CC"/>
    <w:rsid w:val="00D70B63"/>
    <w:rsid w:val="00D73A49"/>
    <w:rsid w:val="00D73CA9"/>
    <w:rsid w:val="00D76423"/>
    <w:rsid w:val="00D77738"/>
    <w:rsid w:val="00D81BB8"/>
    <w:rsid w:val="00D8305B"/>
    <w:rsid w:val="00D8695C"/>
    <w:rsid w:val="00D86AA3"/>
    <w:rsid w:val="00D8730A"/>
    <w:rsid w:val="00D91454"/>
    <w:rsid w:val="00D92116"/>
    <w:rsid w:val="00D9403C"/>
    <w:rsid w:val="00D96DF0"/>
    <w:rsid w:val="00DA0488"/>
    <w:rsid w:val="00DA0648"/>
    <w:rsid w:val="00DA07F1"/>
    <w:rsid w:val="00DA176A"/>
    <w:rsid w:val="00DA2481"/>
    <w:rsid w:val="00DA269D"/>
    <w:rsid w:val="00DA41C6"/>
    <w:rsid w:val="00DA6D2E"/>
    <w:rsid w:val="00DA735C"/>
    <w:rsid w:val="00DB0CB9"/>
    <w:rsid w:val="00DB36F9"/>
    <w:rsid w:val="00DB4B84"/>
    <w:rsid w:val="00DC2146"/>
    <w:rsid w:val="00DC3418"/>
    <w:rsid w:val="00DC663E"/>
    <w:rsid w:val="00DC7340"/>
    <w:rsid w:val="00DC7C7C"/>
    <w:rsid w:val="00DD06F4"/>
    <w:rsid w:val="00DD16AB"/>
    <w:rsid w:val="00DD36E6"/>
    <w:rsid w:val="00DD500F"/>
    <w:rsid w:val="00DD65E9"/>
    <w:rsid w:val="00DD70DA"/>
    <w:rsid w:val="00DE1678"/>
    <w:rsid w:val="00DE1BDC"/>
    <w:rsid w:val="00DF25A8"/>
    <w:rsid w:val="00DF4E58"/>
    <w:rsid w:val="00DF4F3B"/>
    <w:rsid w:val="00DF53E4"/>
    <w:rsid w:val="00DF5451"/>
    <w:rsid w:val="00E056B9"/>
    <w:rsid w:val="00E112F8"/>
    <w:rsid w:val="00E12333"/>
    <w:rsid w:val="00E126DD"/>
    <w:rsid w:val="00E166F2"/>
    <w:rsid w:val="00E20872"/>
    <w:rsid w:val="00E20F74"/>
    <w:rsid w:val="00E2136E"/>
    <w:rsid w:val="00E21750"/>
    <w:rsid w:val="00E2285C"/>
    <w:rsid w:val="00E25AF8"/>
    <w:rsid w:val="00E2634F"/>
    <w:rsid w:val="00E26D12"/>
    <w:rsid w:val="00E31A6A"/>
    <w:rsid w:val="00E3220B"/>
    <w:rsid w:val="00E32C90"/>
    <w:rsid w:val="00E345AE"/>
    <w:rsid w:val="00E422CD"/>
    <w:rsid w:val="00E42674"/>
    <w:rsid w:val="00E43F3F"/>
    <w:rsid w:val="00E457E4"/>
    <w:rsid w:val="00E46610"/>
    <w:rsid w:val="00E46B5C"/>
    <w:rsid w:val="00E46BDF"/>
    <w:rsid w:val="00E47613"/>
    <w:rsid w:val="00E477EE"/>
    <w:rsid w:val="00E5371A"/>
    <w:rsid w:val="00E547DB"/>
    <w:rsid w:val="00E555BF"/>
    <w:rsid w:val="00E56499"/>
    <w:rsid w:val="00E57C5D"/>
    <w:rsid w:val="00E61714"/>
    <w:rsid w:val="00E61949"/>
    <w:rsid w:val="00E62F08"/>
    <w:rsid w:val="00E63175"/>
    <w:rsid w:val="00E65C9E"/>
    <w:rsid w:val="00E674EB"/>
    <w:rsid w:val="00E67658"/>
    <w:rsid w:val="00E67870"/>
    <w:rsid w:val="00E70DCE"/>
    <w:rsid w:val="00E7423D"/>
    <w:rsid w:val="00E75F35"/>
    <w:rsid w:val="00E770A2"/>
    <w:rsid w:val="00E77311"/>
    <w:rsid w:val="00E77D3D"/>
    <w:rsid w:val="00E77F88"/>
    <w:rsid w:val="00E80718"/>
    <w:rsid w:val="00E8155A"/>
    <w:rsid w:val="00E83E60"/>
    <w:rsid w:val="00E8464E"/>
    <w:rsid w:val="00E85287"/>
    <w:rsid w:val="00E85EF7"/>
    <w:rsid w:val="00E87276"/>
    <w:rsid w:val="00E92AF1"/>
    <w:rsid w:val="00E9536D"/>
    <w:rsid w:val="00E95EAE"/>
    <w:rsid w:val="00EA22B4"/>
    <w:rsid w:val="00EA446A"/>
    <w:rsid w:val="00EA5219"/>
    <w:rsid w:val="00EA6529"/>
    <w:rsid w:val="00EA6969"/>
    <w:rsid w:val="00EA7DC1"/>
    <w:rsid w:val="00EB1180"/>
    <w:rsid w:val="00EB5AD1"/>
    <w:rsid w:val="00EB5BA2"/>
    <w:rsid w:val="00EB5C28"/>
    <w:rsid w:val="00EB6B8F"/>
    <w:rsid w:val="00EC041D"/>
    <w:rsid w:val="00EC1C5E"/>
    <w:rsid w:val="00EC2EA4"/>
    <w:rsid w:val="00EC37F6"/>
    <w:rsid w:val="00EC4E06"/>
    <w:rsid w:val="00EC6884"/>
    <w:rsid w:val="00ED1F1D"/>
    <w:rsid w:val="00ED4313"/>
    <w:rsid w:val="00EE3AFB"/>
    <w:rsid w:val="00EE48AB"/>
    <w:rsid w:val="00EE5F57"/>
    <w:rsid w:val="00EE7516"/>
    <w:rsid w:val="00EF0D19"/>
    <w:rsid w:val="00EF1577"/>
    <w:rsid w:val="00EF25A3"/>
    <w:rsid w:val="00EF61E1"/>
    <w:rsid w:val="00EF6BD4"/>
    <w:rsid w:val="00EF6DC3"/>
    <w:rsid w:val="00EF6FD8"/>
    <w:rsid w:val="00F00EF3"/>
    <w:rsid w:val="00F02A47"/>
    <w:rsid w:val="00F044BA"/>
    <w:rsid w:val="00F05C18"/>
    <w:rsid w:val="00F05D1B"/>
    <w:rsid w:val="00F0700D"/>
    <w:rsid w:val="00F10392"/>
    <w:rsid w:val="00F10C23"/>
    <w:rsid w:val="00F10FCA"/>
    <w:rsid w:val="00F11435"/>
    <w:rsid w:val="00F115D8"/>
    <w:rsid w:val="00F1232A"/>
    <w:rsid w:val="00F157DD"/>
    <w:rsid w:val="00F15F90"/>
    <w:rsid w:val="00F166A1"/>
    <w:rsid w:val="00F17552"/>
    <w:rsid w:val="00F20F51"/>
    <w:rsid w:val="00F21465"/>
    <w:rsid w:val="00F23533"/>
    <w:rsid w:val="00F23A53"/>
    <w:rsid w:val="00F23B76"/>
    <w:rsid w:val="00F24AB9"/>
    <w:rsid w:val="00F30B14"/>
    <w:rsid w:val="00F3362D"/>
    <w:rsid w:val="00F35F24"/>
    <w:rsid w:val="00F45D7F"/>
    <w:rsid w:val="00F51456"/>
    <w:rsid w:val="00F51BE6"/>
    <w:rsid w:val="00F531FF"/>
    <w:rsid w:val="00F532C3"/>
    <w:rsid w:val="00F56155"/>
    <w:rsid w:val="00F60595"/>
    <w:rsid w:val="00F6065C"/>
    <w:rsid w:val="00F61EB1"/>
    <w:rsid w:val="00F62C8B"/>
    <w:rsid w:val="00F66AA3"/>
    <w:rsid w:val="00F71CDA"/>
    <w:rsid w:val="00F73A83"/>
    <w:rsid w:val="00F740BE"/>
    <w:rsid w:val="00F772B6"/>
    <w:rsid w:val="00F802D4"/>
    <w:rsid w:val="00F80449"/>
    <w:rsid w:val="00F8128B"/>
    <w:rsid w:val="00F824CC"/>
    <w:rsid w:val="00F869A8"/>
    <w:rsid w:val="00F8760E"/>
    <w:rsid w:val="00F87F8C"/>
    <w:rsid w:val="00F90B64"/>
    <w:rsid w:val="00F91982"/>
    <w:rsid w:val="00FA00E1"/>
    <w:rsid w:val="00FA2DA2"/>
    <w:rsid w:val="00FA311A"/>
    <w:rsid w:val="00FA3831"/>
    <w:rsid w:val="00FA4755"/>
    <w:rsid w:val="00FA4C07"/>
    <w:rsid w:val="00FA5813"/>
    <w:rsid w:val="00FA6337"/>
    <w:rsid w:val="00FB16A8"/>
    <w:rsid w:val="00FB1870"/>
    <w:rsid w:val="00FB1BC6"/>
    <w:rsid w:val="00FB27A3"/>
    <w:rsid w:val="00FB4A17"/>
    <w:rsid w:val="00FB517C"/>
    <w:rsid w:val="00FB5231"/>
    <w:rsid w:val="00FC1AAD"/>
    <w:rsid w:val="00FC6B3B"/>
    <w:rsid w:val="00FD25A8"/>
    <w:rsid w:val="00FD3BD7"/>
    <w:rsid w:val="00FD74B7"/>
    <w:rsid w:val="00FE0FE8"/>
    <w:rsid w:val="00FE209F"/>
    <w:rsid w:val="00FE3925"/>
    <w:rsid w:val="00FE5045"/>
    <w:rsid w:val="00FE5BCB"/>
    <w:rsid w:val="00FE5DBD"/>
    <w:rsid w:val="00FE72F6"/>
    <w:rsid w:val="00FE7F7B"/>
    <w:rsid w:val="00FF09D6"/>
    <w:rsid w:val="00FF0FC5"/>
    <w:rsid w:val="00FF56AA"/>
    <w:rsid w:val="00FF60E8"/>
    <w:rsid w:val="00FF7539"/>
    <w:rsid w:val="00FF7662"/>
    <w:rsid w:val="00FF7B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FF81D6"/>
  <w14:defaultImageDpi w14:val="32767"/>
  <w15:docId w15:val="{832BB04B-C88E-45BB-9BE4-22D412A4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A00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7DB"/>
    <w:pPr>
      <w:tabs>
        <w:tab w:val="center" w:pos="4513"/>
        <w:tab w:val="right" w:pos="9026"/>
      </w:tabs>
      <w:spacing w:after="0" w:line="240" w:lineRule="auto"/>
    </w:pPr>
  </w:style>
  <w:style w:type="character" w:customStyle="1" w:styleId="a4">
    <w:name w:val="ヘッダー (文字)"/>
    <w:basedOn w:val="a0"/>
    <w:link w:val="a3"/>
    <w:uiPriority w:val="99"/>
    <w:rsid w:val="00E547DB"/>
  </w:style>
  <w:style w:type="paragraph" w:styleId="a5">
    <w:name w:val="footer"/>
    <w:basedOn w:val="a"/>
    <w:link w:val="a6"/>
    <w:uiPriority w:val="99"/>
    <w:unhideWhenUsed/>
    <w:rsid w:val="00E547DB"/>
    <w:pPr>
      <w:tabs>
        <w:tab w:val="center" w:pos="4513"/>
        <w:tab w:val="right" w:pos="9026"/>
      </w:tabs>
      <w:spacing w:after="0" w:line="240" w:lineRule="auto"/>
    </w:pPr>
  </w:style>
  <w:style w:type="character" w:customStyle="1" w:styleId="a6">
    <w:name w:val="フッター (文字)"/>
    <w:basedOn w:val="a0"/>
    <w:link w:val="a5"/>
    <w:uiPriority w:val="99"/>
    <w:rsid w:val="00E547DB"/>
  </w:style>
  <w:style w:type="paragraph" w:styleId="a7">
    <w:name w:val="Balloon Text"/>
    <w:basedOn w:val="a"/>
    <w:link w:val="a8"/>
    <w:uiPriority w:val="99"/>
    <w:semiHidden/>
    <w:unhideWhenUsed/>
    <w:rsid w:val="00E547DB"/>
    <w:pPr>
      <w:spacing w:after="0" w:line="240" w:lineRule="auto"/>
    </w:pPr>
    <w:rPr>
      <w:rFonts w:ascii="Tahoma" w:hAnsi="Tahoma" w:cs="Tahoma"/>
      <w:sz w:val="16"/>
      <w:szCs w:val="16"/>
    </w:rPr>
  </w:style>
  <w:style w:type="character" w:customStyle="1" w:styleId="a8">
    <w:name w:val="吹き出し (文字)"/>
    <w:basedOn w:val="a0"/>
    <w:link w:val="a7"/>
    <w:uiPriority w:val="99"/>
    <w:semiHidden/>
    <w:rsid w:val="00E547DB"/>
    <w:rPr>
      <w:rFonts w:ascii="Tahoma" w:hAnsi="Tahoma" w:cs="Tahoma"/>
      <w:sz w:val="16"/>
      <w:szCs w:val="16"/>
    </w:rPr>
  </w:style>
  <w:style w:type="paragraph" w:customStyle="1" w:styleId="RSCH01PaperTitle">
    <w:name w:val="RSC H01 Paper Title"/>
    <w:basedOn w:val="a"/>
    <w:next w:val="a"/>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a"/>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a"/>
    <w:link w:val="RSCB01ARTAbstractChar"/>
    <w:qFormat/>
    <w:rsid w:val="00FA2DA2"/>
    <w:pPr>
      <w:spacing w:line="240" w:lineRule="exact"/>
      <w:jc w:val="both"/>
    </w:pPr>
    <w:rPr>
      <w:noProof/>
      <w:sz w:val="16"/>
      <w:lang w:eastAsia="en-GB"/>
    </w:rPr>
  </w:style>
  <w:style w:type="table" w:styleId="a9">
    <w:name w:val="Table Grid"/>
    <w:basedOn w:val="a1"/>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a"/>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a0"/>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a"/>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a"/>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a"/>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a"/>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a"/>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a0"/>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a0"/>
    <w:link w:val="RSCF02FootnotestoTitleAuthors"/>
    <w:rsid w:val="006556AC"/>
    <w:rPr>
      <w:rFonts w:cs="Times New Roman"/>
      <w:w w:val="105"/>
      <w:sz w:val="14"/>
      <w:szCs w:val="14"/>
    </w:rPr>
  </w:style>
  <w:style w:type="paragraph" w:styleId="aa">
    <w:name w:val="No Spacing"/>
    <w:uiPriority w:val="1"/>
    <w:rsid w:val="00272D6F"/>
    <w:pPr>
      <w:spacing w:after="0" w:line="240" w:lineRule="auto"/>
    </w:pPr>
  </w:style>
  <w:style w:type="character" w:customStyle="1" w:styleId="RSCR02ReferencesChar">
    <w:name w:val="RSC R02 References Char"/>
    <w:basedOn w:val="a0"/>
    <w:link w:val="RSCR02References"/>
    <w:rsid w:val="00CF5F1A"/>
    <w:rPr>
      <w:rFonts w:cs="Times New Roman"/>
      <w:w w:val="105"/>
      <w:sz w:val="18"/>
      <w:szCs w:val="18"/>
    </w:rPr>
  </w:style>
  <w:style w:type="paragraph" w:customStyle="1" w:styleId="RSCB04AHeadingSection">
    <w:name w:val="RSC B04 A Heading (Section)"/>
    <w:basedOn w:val="a"/>
    <w:link w:val="RSCB04AHeadingSectionChar"/>
    <w:qFormat/>
    <w:rsid w:val="00EF6BD4"/>
    <w:pPr>
      <w:spacing w:before="400" w:after="80" w:line="240" w:lineRule="auto"/>
    </w:pPr>
    <w:rPr>
      <w:b/>
      <w:sz w:val="24"/>
    </w:rPr>
  </w:style>
  <w:style w:type="character" w:customStyle="1" w:styleId="RSCH01PaperTitleChar">
    <w:name w:val="RSC H01 Paper Title Char"/>
    <w:basedOn w:val="a0"/>
    <w:link w:val="RSCH01PaperTitle"/>
    <w:rsid w:val="00C32EDF"/>
    <w:rPr>
      <w:rFonts w:cs="Times New Roman"/>
      <w:b/>
      <w:sz w:val="29"/>
      <w:szCs w:val="32"/>
    </w:rPr>
  </w:style>
  <w:style w:type="character" w:customStyle="1" w:styleId="RSCH02PaperAuthorsandBylineChar">
    <w:name w:val="RSC H02 Paper Authors and Byline Char"/>
    <w:basedOn w:val="a0"/>
    <w:link w:val="RSCH02PaperAuthorsandByline"/>
    <w:rsid w:val="001633D9"/>
    <w:rPr>
      <w:rFonts w:cs="Times New Roman"/>
      <w:sz w:val="20"/>
    </w:rPr>
  </w:style>
  <w:style w:type="character" w:customStyle="1" w:styleId="RSCB01ARTAbstractChar">
    <w:name w:val="RSC B01 ART Abstract Char"/>
    <w:basedOn w:val="a0"/>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a0"/>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a"/>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a0"/>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a0"/>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a0"/>
    <w:link w:val="RSCI03FigureSchemeChartUncaptioned"/>
    <w:rsid w:val="006556AC"/>
    <w:rPr>
      <w:rFonts w:cs="Times New Roman"/>
      <w:sz w:val="16"/>
      <w:szCs w:val="16"/>
    </w:rPr>
  </w:style>
  <w:style w:type="character" w:customStyle="1" w:styleId="RSCB03MathematicsGreeketcChar">
    <w:name w:val="RSC B03 Mathematics/Greek etc Char"/>
    <w:basedOn w:val="a0"/>
    <w:link w:val="RSCB03MathematicsGreeketc"/>
    <w:rsid w:val="007A37D8"/>
    <w:rPr>
      <w:rFonts w:ascii="Times New Roman" w:hAnsi="Times New Roman"/>
      <w:sz w:val="18"/>
    </w:rPr>
  </w:style>
  <w:style w:type="paragraph" w:customStyle="1" w:styleId="RSCT03TableBody">
    <w:name w:val="RSC T03 Table Body"/>
    <w:basedOn w:val="a"/>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a0"/>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a"/>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a0"/>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a0"/>
    <w:link w:val="RSCT04TableFootnotewithbottombar"/>
    <w:rsid w:val="006556AC"/>
    <w:rPr>
      <w:rFonts w:eastAsia="Times New Roman" w:cs="Times New Roman"/>
      <w:sz w:val="15"/>
      <w:szCs w:val="20"/>
      <w:lang w:eastAsia="en-GB"/>
    </w:rPr>
  </w:style>
  <w:style w:type="character" w:styleId="ab">
    <w:name w:val="Hyperlink"/>
    <w:basedOn w:val="a0"/>
    <w:uiPriority w:val="99"/>
    <w:unhideWhenUsed/>
    <w:rsid w:val="005037CD"/>
    <w:rPr>
      <w:color w:val="0000FF" w:themeColor="hyperlink"/>
      <w:u w:val="single"/>
    </w:rPr>
  </w:style>
  <w:style w:type="paragraph" w:styleId="ac">
    <w:name w:val="List Paragraph"/>
    <w:basedOn w:val="a"/>
    <w:uiPriority w:val="34"/>
    <w:qFormat/>
    <w:rsid w:val="00F15F90"/>
    <w:pPr>
      <w:ind w:left="720"/>
      <w:contextualSpacing/>
    </w:pPr>
  </w:style>
  <w:style w:type="paragraph" w:styleId="ad">
    <w:name w:val="Revision"/>
    <w:hidden/>
    <w:uiPriority w:val="99"/>
    <w:semiHidden/>
    <w:rsid w:val="000D5891"/>
    <w:pPr>
      <w:spacing w:after="0" w:line="240" w:lineRule="auto"/>
    </w:pPr>
  </w:style>
  <w:style w:type="paragraph" w:styleId="ae">
    <w:name w:val="footnote text"/>
    <w:basedOn w:val="a"/>
    <w:link w:val="af"/>
    <w:uiPriority w:val="99"/>
    <w:semiHidden/>
    <w:unhideWhenUsed/>
    <w:rsid w:val="00CA2740"/>
    <w:pPr>
      <w:spacing w:after="0" w:line="240" w:lineRule="auto"/>
    </w:pPr>
    <w:rPr>
      <w:sz w:val="20"/>
      <w:szCs w:val="20"/>
    </w:rPr>
  </w:style>
  <w:style w:type="character" w:customStyle="1" w:styleId="af">
    <w:name w:val="脚注文字列 (文字)"/>
    <w:basedOn w:val="a0"/>
    <w:link w:val="ae"/>
    <w:uiPriority w:val="99"/>
    <w:semiHidden/>
    <w:rsid w:val="00CA2740"/>
    <w:rPr>
      <w:sz w:val="20"/>
      <w:szCs w:val="20"/>
    </w:rPr>
  </w:style>
  <w:style w:type="character" w:styleId="af0">
    <w:name w:val="footnote reference"/>
    <w:basedOn w:val="a0"/>
    <w:uiPriority w:val="99"/>
    <w:semiHidden/>
    <w:unhideWhenUsed/>
    <w:rsid w:val="00CA2740"/>
    <w:rPr>
      <w:vertAlign w:val="superscript"/>
    </w:rPr>
  </w:style>
  <w:style w:type="paragraph" w:styleId="Web">
    <w:name w:val="Normal (Web)"/>
    <w:basedOn w:val="a"/>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1">
    <w:name w:val="caption"/>
    <w:basedOn w:val="a"/>
    <w:next w:val="a"/>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a0"/>
    <w:link w:val="RSCI04CaptiontoFigureSchemeChart"/>
    <w:rsid w:val="006556AC"/>
    <w:rPr>
      <w:bCs/>
      <w:sz w:val="14"/>
      <w:szCs w:val="18"/>
    </w:rPr>
  </w:style>
  <w:style w:type="paragraph" w:customStyle="1" w:styleId="RSCM01ReceivedAccepted">
    <w:name w:val="RSC M01 Received/Accepted"/>
    <w:basedOn w:val="a"/>
    <w:link w:val="RSCM01ReceivedAcceptedChar"/>
    <w:qFormat/>
    <w:rsid w:val="004C531E"/>
    <w:pPr>
      <w:spacing w:before="960" w:after="0" w:line="180" w:lineRule="exact"/>
      <w:contextualSpacing/>
    </w:pPr>
    <w:rPr>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a"/>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a0"/>
    <w:link w:val="RSCM01ReceivedAccepted"/>
    <w:rsid w:val="004C531E"/>
    <w:rPr>
      <w:rFonts w:eastAsiaTheme="minorEastAsia"/>
      <w:noProof/>
      <w:sz w:val="14"/>
      <w:szCs w:val="14"/>
      <w:lang w:eastAsia="en-GB"/>
    </w:rPr>
  </w:style>
  <w:style w:type="paragraph" w:customStyle="1" w:styleId="RSCM03Website">
    <w:name w:val="RSC M03 Website"/>
    <w:basedOn w:val="a"/>
    <w:link w:val="RSCM03WebsiteChar"/>
    <w:qFormat/>
    <w:rsid w:val="004C531E"/>
    <w:pPr>
      <w:spacing w:line="400" w:lineRule="exact"/>
    </w:pPr>
    <w:rPr>
      <w:b/>
      <w:sz w:val="14"/>
      <w:szCs w:val="14"/>
    </w:rPr>
  </w:style>
  <w:style w:type="character" w:customStyle="1" w:styleId="RSCM02DOIChar">
    <w:name w:val="RSC M02 DOI Char"/>
    <w:basedOn w:val="a0"/>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a0"/>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a0"/>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a0"/>
    <w:link w:val="RSCB07BHeadingSub-Section-standalone"/>
    <w:rsid w:val="00EF6BD4"/>
    <w:rPr>
      <w:b/>
      <w:sz w:val="18"/>
    </w:rPr>
  </w:style>
  <w:style w:type="character" w:customStyle="1" w:styleId="RSCB08CHeadingIn-lineChar">
    <w:name w:val="RSC B08 C Heading (In-line) Char"/>
    <w:basedOn w:val="a0"/>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a"/>
    <w:next w:val="a"/>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a"/>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af2">
    <w:name w:val="FollowedHyperlink"/>
    <w:basedOn w:val="a0"/>
    <w:uiPriority w:val="99"/>
    <w:semiHidden/>
    <w:unhideWhenUsed/>
    <w:rsid w:val="0024022C"/>
    <w:rPr>
      <w:color w:val="800080" w:themeColor="followedHyperlink"/>
      <w:u w:val="single"/>
    </w:rPr>
  </w:style>
  <w:style w:type="character" w:styleId="af3">
    <w:name w:val="annotation reference"/>
    <w:basedOn w:val="a0"/>
    <w:uiPriority w:val="99"/>
    <w:semiHidden/>
    <w:unhideWhenUsed/>
    <w:rsid w:val="0060627E"/>
    <w:rPr>
      <w:sz w:val="16"/>
      <w:szCs w:val="16"/>
    </w:rPr>
  </w:style>
  <w:style w:type="paragraph" w:styleId="af4">
    <w:name w:val="annotation text"/>
    <w:basedOn w:val="a"/>
    <w:link w:val="af5"/>
    <w:uiPriority w:val="99"/>
    <w:semiHidden/>
    <w:unhideWhenUsed/>
    <w:rsid w:val="0060627E"/>
    <w:pPr>
      <w:spacing w:line="240" w:lineRule="auto"/>
    </w:pPr>
    <w:rPr>
      <w:sz w:val="20"/>
      <w:szCs w:val="20"/>
    </w:rPr>
  </w:style>
  <w:style w:type="character" w:customStyle="1" w:styleId="af5">
    <w:name w:val="コメント文字列 (文字)"/>
    <w:basedOn w:val="a0"/>
    <w:link w:val="af4"/>
    <w:uiPriority w:val="99"/>
    <w:semiHidden/>
    <w:rsid w:val="0060627E"/>
    <w:rPr>
      <w:sz w:val="20"/>
      <w:szCs w:val="20"/>
    </w:rPr>
  </w:style>
  <w:style w:type="paragraph" w:styleId="af6">
    <w:name w:val="annotation subject"/>
    <w:basedOn w:val="af4"/>
    <w:next w:val="af4"/>
    <w:link w:val="af7"/>
    <w:uiPriority w:val="99"/>
    <w:semiHidden/>
    <w:unhideWhenUsed/>
    <w:rsid w:val="0060627E"/>
    <w:rPr>
      <w:b/>
      <w:bCs/>
    </w:rPr>
  </w:style>
  <w:style w:type="character" w:customStyle="1" w:styleId="af7">
    <w:name w:val="コメント内容 (文字)"/>
    <w:basedOn w:val="af5"/>
    <w:link w:val="af6"/>
    <w:uiPriority w:val="99"/>
    <w:semiHidden/>
    <w:rsid w:val="0060627E"/>
    <w:rPr>
      <w:b/>
      <w:bCs/>
      <w:sz w:val="20"/>
      <w:szCs w:val="20"/>
    </w:rPr>
  </w:style>
  <w:style w:type="character" w:styleId="af8">
    <w:name w:val="Unresolved Mention"/>
    <w:basedOn w:val="a0"/>
    <w:uiPriority w:val="99"/>
    <w:semiHidden/>
    <w:unhideWhenUsed/>
    <w:rsid w:val="007C428B"/>
    <w:rPr>
      <w:color w:val="605E5C"/>
      <w:shd w:val="clear" w:color="auto" w:fill="E1DFDD"/>
    </w:rPr>
  </w:style>
  <w:style w:type="character" w:styleId="af9">
    <w:name w:val="Strong"/>
    <w:basedOn w:val="a0"/>
    <w:uiPriority w:val="22"/>
    <w:qFormat/>
    <w:rsid w:val="00C706AB"/>
    <w:rPr>
      <w:b/>
      <w:bCs/>
    </w:rPr>
  </w:style>
  <w:style w:type="character" w:styleId="afa">
    <w:name w:val="Placeholder Text"/>
    <w:basedOn w:val="a0"/>
    <w:uiPriority w:val="99"/>
    <w:semiHidden/>
    <w:rsid w:val="005E56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883697">
      <w:bodyDiv w:val="1"/>
      <w:marLeft w:val="0"/>
      <w:marRight w:val="0"/>
      <w:marTop w:val="0"/>
      <w:marBottom w:val="0"/>
      <w:divBdr>
        <w:top w:val="none" w:sz="0" w:space="0" w:color="auto"/>
        <w:left w:val="none" w:sz="0" w:space="0" w:color="auto"/>
        <w:bottom w:val="none" w:sz="0" w:space="0" w:color="auto"/>
        <w:right w:val="none" w:sz="0" w:space="0" w:color="auto"/>
      </w:divBdr>
    </w:div>
    <w:div w:id="130054262">
      <w:bodyDiv w:val="1"/>
      <w:marLeft w:val="0"/>
      <w:marRight w:val="0"/>
      <w:marTop w:val="0"/>
      <w:marBottom w:val="0"/>
      <w:divBdr>
        <w:top w:val="none" w:sz="0" w:space="0" w:color="auto"/>
        <w:left w:val="none" w:sz="0" w:space="0" w:color="auto"/>
        <w:bottom w:val="none" w:sz="0" w:space="0" w:color="auto"/>
        <w:right w:val="none" w:sz="0" w:space="0" w:color="auto"/>
      </w:divBdr>
    </w:div>
    <w:div w:id="255360505">
      <w:bodyDiv w:val="1"/>
      <w:marLeft w:val="0"/>
      <w:marRight w:val="0"/>
      <w:marTop w:val="0"/>
      <w:marBottom w:val="0"/>
      <w:divBdr>
        <w:top w:val="none" w:sz="0" w:space="0" w:color="auto"/>
        <w:left w:val="none" w:sz="0" w:space="0" w:color="auto"/>
        <w:bottom w:val="none" w:sz="0" w:space="0" w:color="auto"/>
        <w:right w:val="none" w:sz="0" w:space="0" w:color="auto"/>
      </w:divBdr>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114518">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710960423">
      <w:bodyDiv w:val="1"/>
      <w:marLeft w:val="0"/>
      <w:marRight w:val="0"/>
      <w:marTop w:val="0"/>
      <w:marBottom w:val="0"/>
      <w:divBdr>
        <w:top w:val="none" w:sz="0" w:space="0" w:color="auto"/>
        <w:left w:val="none" w:sz="0" w:space="0" w:color="auto"/>
        <w:bottom w:val="none" w:sz="0" w:space="0" w:color="auto"/>
        <w:right w:val="none" w:sz="0" w:space="0" w:color="auto"/>
      </w:divBdr>
    </w:div>
    <w:div w:id="776603753">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25475318">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604457870">
      <w:bodyDiv w:val="1"/>
      <w:marLeft w:val="0"/>
      <w:marRight w:val="0"/>
      <w:marTop w:val="0"/>
      <w:marBottom w:val="0"/>
      <w:divBdr>
        <w:top w:val="none" w:sz="0" w:space="0" w:color="auto"/>
        <w:left w:val="none" w:sz="0" w:space="0" w:color="auto"/>
        <w:bottom w:val="none" w:sz="0" w:space="0" w:color="auto"/>
        <w:right w:val="none" w:sz="0" w:space="0" w:color="auto"/>
      </w:divBdr>
    </w:div>
    <w:div w:id="209867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0.png"/><Relationship Id="rId25"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883CA-9281-40ED-93D0-EC93493C5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5595</Words>
  <Characters>32233</Characters>
  <Application>Microsoft Office Word</Application>
  <DocSecurity>0</DocSecurity>
  <Lines>546</Lines>
  <Paragraphs>103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The Royal Society of Chemistry</Company>
  <LinksUpToDate>false</LinksUpToDate>
  <CharactersWithSpaces>37725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McCallum</dc:creator>
  <cp:lastModifiedBy>ONODERA Yohei</cp:lastModifiedBy>
  <cp:revision>17</cp:revision>
  <cp:lastPrinted>2026-07-12T15:57:00Z</cp:lastPrinted>
  <dcterms:created xsi:type="dcterms:W3CDTF">2026-08-09T11:30:00Z</dcterms:created>
  <dcterms:modified xsi:type="dcterms:W3CDTF">2026-08-09T12:36:00Z</dcterms:modified>
</cp:coreProperties>
</file>