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 = '1.0' encoding = 'UTF-8' standalone = 'yes'?>
<Relationships xmlns="http://schemas.openxmlformats.org/package/2006/relationships">
   <Relationship Id="rId1" Type="http://schemas.openxmlformats.org/officeDocument/2006/relationships/officeDocument" Target="word/document.xml"/>
   <Relationship Id="rId2" Type="http://schemas.openxmlformats.org/package/2006/relationships/metadata/core-properties" Target="docProps/core.xml"/>
 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95" w:rsidRDefault="00BE6595" w:rsidP="00BE659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 material</w:t>
      </w:r>
    </w:p>
    <w:p w:rsidR="00BE6595" w:rsidRDefault="00BE6595" w:rsidP="00BE6595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43"/>
        <w:gridCol w:w="4645"/>
      </w:tblGrid>
      <w:tr w:rsidR="00BE6595" w:rsidTr="00BE6595">
        <w:trPr>
          <w:jc w:val="center"/>
        </w:trPr>
        <w:tc>
          <w:tcPr>
            <w:tcW w:w="4675" w:type="dxa"/>
            <w:hideMark/>
          </w:tcPr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noProof/>
                <w:lang w:val="ro-RO" w:eastAsia="ro-RO"/>
              </w:rPr>
              <w:drawing>
                <wp:inline distT="0" distB="0" distL="0" distR="0">
                  <wp:extent cx="1828800" cy="17811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bCs/>
                <w:lang w:eastAsia="zh-CN"/>
              </w:rPr>
              <w:t>(a)</w:t>
            </w:r>
          </w:p>
        </w:tc>
        <w:tc>
          <w:tcPr>
            <w:tcW w:w="4675" w:type="dxa"/>
            <w:hideMark/>
          </w:tcPr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noProof/>
                <w:lang w:val="ro-RO" w:eastAsia="ro-RO"/>
              </w:rPr>
              <w:drawing>
                <wp:inline distT="0" distB="0" distL="0" distR="0">
                  <wp:extent cx="1924050" cy="18192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bCs/>
                <w:lang w:eastAsia="zh-CN"/>
              </w:rPr>
              <w:t>(b)</w:t>
            </w:r>
          </w:p>
        </w:tc>
      </w:tr>
      <w:tr w:rsidR="00BE6595" w:rsidTr="00BE6595">
        <w:trPr>
          <w:jc w:val="center"/>
        </w:trPr>
        <w:tc>
          <w:tcPr>
            <w:tcW w:w="4675" w:type="dxa"/>
            <w:hideMark/>
          </w:tcPr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noProof/>
                <w:lang w:val="ro-RO" w:eastAsia="ro-RO"/>
              </w:rPr>
              <w:drawing>
                <wp:inline distT="0" distB="0" distL="0" distR="0">
                  <wp:extent cx="1866900" cy="17526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bCs/>
                <w:lang w:eastAsia="zh-CN"/>
              </w:rPr>
              <w:t>(c)</w:t>
            </w:r>
          </w:p>
        </w:tc>
        <w:tc>
          <w:tcPr>
            <w:tcW w:w="4675" w:type="dxa"/>
            <w:hideMark/>
          </w:tcPr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noProof/>
                <w:lang w:val="ro-RO" w:eastAsia="ro-RO"/>
              </w:rPr>
              <w:drawing>
                <wp:inline distT="0" distB="0" distL="0" distR="0">
                  <wp:extent cx="1819275" cy="17811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bCs/>
                <w:lang w:eastAsia="zh-CN"/>
              </w:rPr>
              <w:t>(d)</w:t>
            </w:r>
          </w:p>
        </w:tc>
      </w:tr>
      <w:tr w:rsidR="00BE6595" w:rsidTr="00BE6595">
        <w:trPr>
          <w:jc w:val="center"/>
        </w:trPr>
        <w:tc>
          <w:tcPr>
            <w:tcW w:w="4675" w:type="dxa"/>
            <w:hideMark/>
          </w:tcPr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noProof/>
                <w:lang w:val="ro-RO" w:eastAsia="ro-RO"/>
              </w:rPr>
              <w:drawing>
                <wp:inline distT="0" distB="0" distL="0" distR="0">
                  <wp:extent cx="1790700" cy="172402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bCs/>
                <w:lang w:eastAsia="zh-CN"/>
              </w:rPr>
              <w:t>(e)</w:t>
            </w:r>
          </w:p>
        </w:tc>
        <w:tc>
          <w:tcPr>
            <w:tcW w:w="4675" w:type="dxa"/>
            <w:hideMark/>
          </w:tcPr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noProof/>
                <w:lang w:val="ro-RO" w:eastAsia="ro-RO"/>
              </w:rPr>
              <w:drawing>
                <wp:inline distT="0" distB="0" distL="0" distR="0">
                  <wp:extent cx="1847850" cy="17811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95" w:rsidRDefault="00BE6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  <w:r>
              <w:rPr>
                <w:rFonts w:ascii="Times New Roman" w:hAnsi="Times New Roman"/>
                <w:bCs/>
                <w:lang w:eastAsia="zh-CN"/>
              </w:rPr>
              <w:t>(f)</w:t>
            </w:r>
          </w:p>
        </w:tc>
      </w:tr>
    </w:tbl>
    <w:p w:rsidR="00BE6595" w:rsidRDefault="00BE6595" w:rsidP="00BE6595">
      <w:pPr>
        <w:spacing w:after="0" w:line="240" w:lineRule="auto"/>
        <w:rPr>
          <w:rFonts w:ascii="Times New Roman" w:hAnsi="Times New Roman"/>
        </w:rPr>
      </w:pPr>
    </w:p>
    <w:p w:rsidR="00BE6595" w:rsidRDefault="00BE6595" w:rsidP="00BE6595">
      <w:pPr>
        <w:spacing w:after="0" w:line="240" w:lineRule="auto"/>
        <w:jc w:val="both"/>
        <w:rPr>
          <w:rFonts w:ascii="Times New Roman" w:hAnsi="Times New Roman"/>
          <w:lang w:eastAsia="zh-CN" w:bidi="th-TH"/>
        </w:rPr>
      </w:pPr>
      <w:r>
        <w:rPr>
          <w:rFonts w:ascii="Times New Roman" w:hAnsi="Times New Roman"/>
          <w:b/>
        </w:rPr>
        <w:t>Fig. 1</w:t>
      </w:r>
      <w:r>
        <w:rPr>
          <w:rFonts w:ascii="Times New Roman" w:hAnsi="Times New Roman"/>
        </w:rPr>
        <w:t xml:space="preserve"> (Supplementary Material) Normalized pinning force </w:t>
      </w:r>
      <w:r>
        <w:rPr>
          <w:rFonts w:ascii="Times New Roman" w:hAnsi="Times New Roman"/>
          <w:i/>
        </w:rPr>
        <w:t>f</w:t>
      </w:r>
      <w:r>
        <w:rPr>
          <w:rFonts w:ascii="Times New Roman" w:hAnsi="Times New Roman"/>
          <w:vertAlign w:val="subscript"/>
        </w:rPr>
        <w:t>p</w:t>
      </w:r>
      <w:r>
        <w:rPr>
          <w:rFonts w:ascii="Times New Roman" w:hAnsi="Times New Roman"/>
        </w:rPr>
        <w:t xml:space="preserve"> at different temperatures as a function of reduced magnetic field </w:t>
      </w:r>
      <w:r>
        <w:rPr>
          <w:rFonts w:ascii="Times New Roman" w:hAnsi="Times New Roman"/>
          <w:i/>
        </w:rPr>
        <w:t>h</w:t>
      </w:r>
      <w:r>
        <w:rPr>
          <w:rFonts w:ascii="Times New Roman" w:hAnsi="Times New Roman"/>
        </w:rPr>
        <w:t xml:space="preserve"> for: (a) - sample ‘c’ with B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>C,</w:t>
      </w:r>
      <w:r>
        <w:rPr>
          <w:rFonts w:ascii="Times New Roman" w:hAnsi="Times New Roman"/>
          <w:i/>
        </w:rPr>
        <w:t xml:space="preserve"> 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F05E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H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>; (b) - sample ‘c’ with B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>C,</w:t>
      </w:r>
      <w:r>
        <w:rPr>
          <w:rFonts w:ascii="Times New Roman" w:hAnsi="Times New Roman"/>
          <w:i/>
        </w:rPr>
        <w:t xml:space="preserve"> H</w:t>
      </w:r>
      <w:r>
        <w:rPr>
          <w:rFonts w:ascii="Times New Roman" w:hAnsi="Times New Roman"/>
        </w:rPr>
        <w:t xml:space="preserve"> // </w:t>
      </w:r>
      <w:r>
        <w:rPr>
          <w:rFonts w:ascii="Times New Roman" w:hAnsi="Times New Roman"/>
          <w:i/>
        </w:rPr>
        <w:t>H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>; (c) - sample ‘e’ with c-BN,</w:t>
      </w:r>
      <w:r>
        <w:rPr>
          <w:rFonts w:ascii="Times New Roman" w:hAnsi="Times New Roman"/>
          <w:i/>
        </w:rPr>
        <w:t xml:space="preserve"> 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F05E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H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>; (d) - sample ‘e’ with c-BN,</w:t>
      </w:r>
      <w:r>
        <w:rPr>
          <w:rFonts w:ascii="Times New Roman" w:hAnsi="Times New Roman"/>
          <w:i/>
        </w:rPr>
        <w:t xml:space="preserve"> H</w:t>
      </w:r>
      <w:r>
        <w:rPr>
          <w:rFonts w:ascii="Times New Roman" w:hAnsi="Times New Roman"/>
        </w:rPr>
        <w:t xml:space="preserve"> // </w:t>
      </w:r>
      <w:r>
        <w:rPr>
          <w:rFonts w:ascii="Times New Roman" w:hAnsi="Times New Roman"/>
          <w:i/>
        </w:rPr>
        <w:t>H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>; (e) – sample ‘b’ with B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 xml:space="preserve">C;  (f) -  sample ‘d’ with c-BN. Continuous lines are fits with Eq. 5 where </w:t>
      </w:r>
      <w:r>
        <w:rPr>
          <w:rFonts w:ascii="Times New Roman" w:hAnsi="Times New Roman"/>
          <w:i/>
          <w:iCs/>
          <w:lang w:eastAsia="zh-CN" w:bidi="th-TH"/>
        </w:rPr>
        <w:t>g</w:t>
      </w:r>
      <w:r>
        <w:rPr>
          <w:rFonts w:ascii="Times New Roman" w:hAnsi="Times New Roman"/>
          <w:lang w:eastAsia="zh-CN" w:bidi="th-TH"/>
        </w:rPr>
        <w:t>(</w:t>
      </w:r>
      <w:r>
        <w:rPr>
          <w:rFonts w:ascii="Times New Roman" w:hAnsi="Times New Roman"/>
          <w:i/>
          <w:iCs/>
          <w:lang w:eastAsia="zh-CN" w:bidi="th-TH"/>
        </w:rPr>
        <w:t>h</w:t>
      </w:r>
      <w:r>
        <w:rPr>
          <w:rFonts w:ascii="Times New Roman" w:hAnsi="Times New Roman"/>
          <w:lang w:eastAsia="zh-CN" w:bidi="th-TH"/>
        </w:rPr>
        <w:t>) is a double Gauss function in (a)-(d) and a simple one in (e) and (f).</w:t>
      </w:r>
    </w:p>
    <w:p w:rsidR="00BE6595" w:rsidRDefault="00BE6595" w:rsidP="00BE6595">
      <w:pPr>
        <w:spacing w:after="0" w:line="240" w:lineRule="auto"/>
        <w:rPr>
          <w:rFonts w:ascii="Times New Roman" w:hAnsi="Times New Roman"/>
        </w:rPr>
      </w:pPr>
    </w:p>
    <w:p w:rsidR="00BE6595" w:rsidRDefault="00BE6595" w:rsidP="00BE6595">
      <w:pPr>
        <w:spacing w:after="0" w:line="240" w:lineRule="auto"/>
        <w:rPr>
          <w:rFonts w:ascii="Times New Roman" w:hAnsi="Times New Roman"/>
        </w:rPr>
      </w:pPr>
    </w:p>
    <w:p w:rsidR="00BE6595" w:rsidRDefault="00BE6595" w:rsidP="00BE6595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44"/>
        <w:gridCol w:w="4644"/>
      </w:tblGrid>
      <w:tr w:rsidR="00BE6595" w:rsidTr="00BE6595">
        <w:trPr>
          <w:jc w:val="center"/>
        </w:trPr>
        <w:tc>
          <w:tcPr>
            <w:tcW w:w="4675" w:type="dxa"/>
            <w:hideMark/>
          </w:tcPr>
          <w:p w:rsidR="00BE6595" w:rsidRDefault="00BE6595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noProof/>
                <w:lang w:val="ro-RO" w:eastAsia="ro-RO"/>
              </w:rPr>
              <w:lastRenderedPageBreak/>
              <w:drawing>
                <wp:inline distT="0" distB="0" distL="0" distR="0">
                  <wp:extent cx="2190750" cy="21907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95" w:rsidRDefault="00BE6595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(a)</w:t>
            </w:r>
          </w:p>
        </w:tc>
        <w:tc>
          <w:tcPr>
            <w:tcW w:w="4675" w:type="dxa"/>
            <w:hideMark/>
          </w:tcPr>
          <w:p w:rsidR="00BE6595" w:rsidRDefault="00BE6595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noProof/>
                <w:lang w:val="ro-RO" w:eastAsia="ro-RO"/>
              </w:rPr>
              <w:drawing>
                <wp:inline distT="0" distB="0" distL="0" distR="0">
                  <wp:extent cx="2190750" cy="21812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95" w:rsidRDefault="00BE6595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(b)</w:t>
            </w:r>
          </w:p>
        </w:tc>
      </w:tr>
      <w:tr w:rsidR="00BE6595" w:rsidTr="00BE6595">
        <w:trPr>
          <w:jc w:val="center"/>
        </w:trPr>
        <w:tc>
          <w:tcPr>
            <w:tcW w:w="4675" w:type="dxa"/>
            <w:hideMark/>
          </w:tcPr>
          <w:p w:rsidR="00BE6595" w:rsidRDefault="00BE6595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noProof/>
                <w:lang w:val="ro-RO" w:eastAsia="ro-RO"/>
              </w:rPr>
              <w:drawing>
                <wp:inline distT="0" distB="0" distL="0" distR="0">
                  <wp:extent cx="2228850" cy="22288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95" w:rsidRDefault="00BE6595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(c)</w:t>
            </w:r>
          </w:p>
        </w:tc>
        <w:tc>
          <w:tcPr>
            <w:tcW w:w="4675" w:type="dxa"/>
            <w:hideMark/>
          </w:tcPr>
          <w:p w:rsidR="00BE6595" w:rsidRDefault="00BE6595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noProof/>
                <w:lang w:val="ro-RO" w:eastAsia="ro-RO"/>
              </w:rPr>
              <w:drawing>
                <wp:inline distT="0" distB="0" distL="0" distR="0">
                  <wp:extent cx="2228850" cy="2228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595" w:rsidRDefault="00BE6595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(d)</w:t>
            </w:r>
          </w:p>
        </w:tc>
      </w:tr>
    </w:tbl>
    <w:p w:rsidR="00BE6595" w:rsidRDefault="00BE6595" w:rsidP="00BE6595">
      <w:pPr>
        <w:spacing w:after="0" w:line="240" w:lineRule="auto"/>
        <w:rPr>
          <w:rFonts w:ascii="Times New Roman" w:hAnsi="Times New Roman"/>
        </w:rPr>
      </w:pPr>
    </w:p>
    <w:p w:rsidR="00BE6595" w:rsidRDefault="00BE6595" w:rsidP="00BE659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Fig. 2</w:t>
      </w:r>
      <w:r>
        <w:rPr>
          <w:rFonts w:ascii="Times New Roman" w:hAnsi="Times New Roman"/>
        </w:rPr>
        <w:t xml:space="preserve"> (Supplementary Material) Critical current density </w:t>
      </w:r>
      <w:r>
        <w:rPr>
          <w:rFonts w:ascii="Times New Roman" w:hAnsi="Times New Roman"/>
          <w:i/>
        </w:rPr>
        <w:t>J</w:t>
      </w:r>
      <w:r>
        <w:rPr>
          <w:rFonts w:ascii="Times New Roman" w:hAnsi="Times New Roman"/>
          <w:vertAlign w:val="subscript"/>
        </w:rPr>
        <w:t>c</w:t>
      </w:r>
      <w:r>
        <w:rPr>
          <w:rFonts w:ascii="Times New Roman" w:hAnsi="Times New Roman"/>
        </w:rPr>
        <w:t xml:space="preserve"> at different temperatures as a function of applied magnetic field µ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  <w:i/>
        </w:rPr>
        <w:t>H</w:t>
      </w:r>
      <w:r>
        <w:rPr>
          <w:rFonts w:ascii="Times New Roman" w:hAnsi="Times New Roman"/>
        </w:rPr>
        <w:t xml:space="preserve"> for: (a) - sample ‘c’ with B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>C,</w:t>
      </w:r>
      <w:r>
        <w:rPr>
          <w:rFonts w:ascii="Times New Roman" w:hAnsi="Times New Roman"/>
          <w:i/>
        </w:rPr>
        <w:t xml:space="preserve"> 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F05E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H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>; (b) - sample ‘c’ with B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>C,</w:t>
      </w:r>
      <w:r>
        <w:rPr>
          <w:rFonts w:ascii="Times New Roman" w:hAnsi="Times New Roman"/>
          <w:i/>
        </w:rPr>
        <w:t xml:space="preserve"> H</w:t>
      </w:r>
      <w:r>
        <w:rPr>
          <w:rFonts w:ascii="Times New Roman" w:hAnsi="Times New Roman"/>
        </w:rPr>
        <w:t xml:space="preserve"> // </w:t>
      </w:r>
      <w:r>
        <w:rPr>
          <w:rFonts w:ascii="Times New Roman" w:hAnsi="Times New Roman"/>
          <w:i/>
        </w:rPr>
        <w:t>H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>; (c) - sample ‘e’ with c-BN,</w:t>
      </w:r>
      <w:r>
        <w:rPr>
          <w:rFonts w:ascii="Times New Roman" w:hAnsi="Times New Roman"/>
          <w:i/>
        </w:rPr>
        <w:t xml:space="preserve"> 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F05E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H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>; (d) - sample ‘e’ with c-BN,</w:t>
      </w:r>
      <w:r>
        <w:rPr>
          <w:rFonts w:ascii="Times New Roman" w:hAnsi="Times New Roman"/>
          <w:i/>
        </w:rPr>
        <w:t xml:space="preserve"> H</w:t>
      </w:r>
      <w:r>
        <w:rPr>
          <w:rFonts w:ascii="Times New Roman" w:hAnsi="Times New Roman"/>
        </w:rPr>
        <w:t xml:space="preserve"> // </w:t>
      </w:r>
      <w:r>
        <w:rPr>
          <w:rFonts w:ascii="Times New Roman" w:hAnsi="Times New Roman"/>
          <w:i/>
        </w:rPr>
        <w:t>H</w:t>
      </w:r>
      <w:r>
        <w:rPr>
          <w:rFonts w:ascii="Times New Roman" w:hAnsi="Times New Roman"/>
          <w:vertAlign w:val="subscript"/>
        </w:rPr>
        <w:t>0</w:t>
      </w:r>
      <w:r>
        <w:rPr>
          <w:rFonts w:ascii="Times New Roman" w:hAnsi="Times New Roman"/>
        </w:rPr>
        <w:t>; (e) - sample ‘b’ with B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 xml:space="preserve">C; (f) - sample ‘d’ with c-BN. Continuous lines are fits with eq. (6) where </w:t>
      </w:r>
      <w:r>
        <w:rPr>
          <w:rFonts w:ascii="Times New Roman" w:hAnsi="Times New Roman"/>
          <w:i/>
          <w:iCs/>
          <w:lang w:eastAsia="zh-CN" w:bidi="th-TH"/>
        </w:rPr>
        <w:t>g</w:t>
      </w:r>
      <w:r>
        <w:rPr>
          <w:rFonts w:ascii="Times New Roman" w:hAnsi="Times New Roman"/>
          <w:lang w:eastAsia="zh-CN" w:bidi="th-TH"/>
        </w:rPr>
        <w:t>(</w:t>
      </w:r>
      <w:r>
        <w:rPr>
          <w:rFonts w:ascii="Times New Roman" w:hAnsi="Times New Roman"/>
          <w:i/>
          <w:iCs/>
          <w:lang w:eastAsia="zh-CN" w:bidi="th-TH"/>
        </w:rPr>
        <w:t>h</w:t>
      </w:r>
      <w:r>
        <w:rPr>
          <w:rFonts w:ascii="Times New Roman" w:hAnsi="Times New Roman"/>
          <w:lang w:eastAsia="zh-CN" w:bidi="th-TH"/>
        </w:rPr>
        <w:t>) is a double Gauss function.</w:t>
      </w:r>
    </w:p>
    <w:p w:rsidR="009E0F65" w:rsidRDefault="009E0F65">
      <w:bookmarkStart w:id="0" w:name="_GoBack"/>
      <w:bookmarkEnd w:id="0"/>
    </w:p>
    <w:sectPr w:rsidR="009E0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E1"/>
    <w:rsid w:val="001034E1"/>
    <w:rsid w:val="009E0F65"/>
    <w:rsid w:val="00B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595"/>
    <w:pPr>
      <w:spacing w:after="160"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595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595"/>
    <w:pPr>
      <w:spacing w:after="160"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595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 = '1.0' encoding = 'UTF-8' standalone = 'yes'?>
<Relationships xmlns="http://schemas.openxmlformats.org/package/2006/relationships">
   <Relationship Id="rId1" Type="http://schemas.openxmlformats.org/officeDocument/2006/relationships/styles" Target="styles.xml"/>
   <Relationship Id="rId10" Type="http://schemas.openxmlformats.org/officeDocument/2006/relationships/image" Target="media/image6.png"/>
   <Relationship Id="rId11" Type="http://schemas.openxmlformats.org/officeDocument/2006/relationships/image" Target="media/image7.png"/>
   <Relationship Id="rId12" Type="http://schemas.openxmlformats.org/officeDocument/2006/relationships/image" Target="media/image8.png"/>
   <Relationship Id="rId13" Type="http://schemas.openxmlformats.org/officeDocument/2006/relationships/image" Target="media/image9.png"/>
   <Relationship Id="rId14" Type="http://schemas.openxmlformats.org/officeDocument/2006/relationships/image" Target="media/image10.png"/>
   <Relationship Id="rId15" Type="http://schemas.openxmlformats.org/officeDocument/2006/relationships/fontTable" Target="fontTable.xml"/>
   <Relationship Id="rId16" Type="http://schemas.openxmlformats.org/officeDocument/2006/relationships/theme" Target="theme/theme1.xml"/>
   <Relationship Id="rId2" Type="http://schemas.microsoft.com/office/2007/relationships/stylesWithEffects" Target="stylesWithEffects.xml"/>
   <Relationship Id="rId3" Type="http://schemas.openxmlformats.org/officeDocument/2006/relationships/settings" Target="settings.xml"/>
   <Relationship Id="rId4" Type="http://schemas.openxmlformats.org/officeDocument/2006/relationships/webSettings" Target="webSettings.xml"/>
   <Relationship Id="rId5" Type="http://schemas.openxmlformats.org/officeDocument/2006/relationships/image" Target="media/image1.png"/>
   <Relationship Id="rId6" Type="http://schemas.openxmlformats.org/officeDocument/2006/relationships/image" Target="media/image2.png"/>
   <Relationship Id="rId7" Type="http://schemas.openxmlformats.org/officeDocument/2006/relationships/image" Target="media/image3.png"/>
   <Relationship Id="rId8" Type="http://schemas.openxmlformats.org/officeDocument/2006/relationships/image" Target="media/image4.png"/>
   <Relationship Id="rId9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141</Words>
  <Characters>819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  <Manager/>
  <HyperlinkBas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