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C7AB" w14:textId="675F6391" w:rsidR="0011013C" w:rsidRPr="0011013C" w:rsidRDefault="0011013C" w:rsidP="0011013C">
      <w:pPr>
        <w:tabs>
          <w:tab w:val="left" w:pos="4820"/>
        </w:tabs>
        <w:adjustRightInd w:val="0"/>
        <w:snapToGrid w:val="0"/>
        <w:spacing w:line="720" w:lineRule="auto"/>
        <w:jc w:val="center"/>
        <w:rPr>
          <w:rFonts w:ascii="Times" w:eastAsia="游明朝" w:hAnsi="Times" w:cs="Times" w:hint="eastAsia"/>
          <w:sz w:val="24"/>
          <w14:ligatures w14:val="none"/>
        </w:rPr>
      </w:pPr>
      <w:r w:rsidRPr="0011013C">
        <w:rPr>
          <w:rFonts w:ascii="Times" w:eastAsia="游明朝" w:hAnsi="Times" w:cs="Times" w:hint="eastAsia"/>
          <w:sz w:val="24"/>
          <w14:ligatures w14:val="none"/>
        </w:rPr>
        <w:t>Supplementary Material for</w:t>
      </w:r>
    </w:p>
    <w:p w14:paraId="2C07C2DC" w14:textId="0E74CDBF" w:rsidR="004A7A61" w:rsidRPr="004A7A61" w:rsidRDefault="004A7A61" w:rsidP="004A7A61">
      <w:pPr>
        <w:tabs>
          <w:tab w:val="left" w:pos="4820"/>
        </w:tabs>
        <w:adjustRightInd w:val="0"/>
        <w:snapToGrid w:val="0"/>
        <w:spacing w:line="720" w:lineRule="auto"/>
        <w:jc w:val="both"/>
        <w:rPr>
          <w:rFonts w:ascii="Times" w:eastAsia="游明朝" w:hAnsi="Times" w:cs="Times"/>
          <w:sz w:val="36"/>
          <w:szCs w:val="36"/>
          <w14:ligatures w14:val="none"/>
        </w:rPr>
      </w:pPr>
      <w:r w:rsidRPr="004A7A61">
        <w:rPr>
          <w:rFonts w:ascii="Times" w:eastAsia="游明朝" w:hAnsi="Times" w:cs="Times"/>
          <w:sz w:val="36"/>
          <w:szCs w:val="36"/>
          <w14:ligatures w14:val="none"/>
        </w:rPr>
        <w:t>Modification of Platinum Surfaces with Cerium Species for Promoting Oxidative Desorption of Adsorbed Sulfur</w:t>
      </w:r>
    </w:p>
    <w:p w14:paraId="40CB49F7" w14:textId="77777777" w:rsidR="004A7A61" w:rsidRPr="004A7A61" w:rsidRDefault="004A7A61" w:rsidP="004A7A61">
      <w:pPr>
        <w:adjustRightInd w:val="0"/>
        <w:snapToGrid w:val="0"/>
        <w:spacing w:line="720" w:lineRule="auto"/>
        <w:jc w:val="both"/>
        <w:rPr>
          <w:rFonts w:ascii="Times" w:eastAsia="游明朝" w:hAnsi="Times" w:cs="Times"/>
          <w:sz w:val="24"/>
          <w14:ligatures w14:val="none"/>
        </w:rPr>
      </w:pPr>
      <w:r w:rsidRPr="004A7A61">
        <w:rPr>
          <w:rFonts w:ascii="Times" w:eastAsia="游明朝" w:hAnsi="Times" w:cs="Times"/>
          <w:sz w:val="24"/>
          <w14:ligatures w14:val="none"/>
        </w:rPr>
        <w:t xml:space="preserve">Tetsuro </w:t>
      </w:r>
      <w:proofErr w:type="spellStart"/>
      <w:r w:rsidRPr="004A7A61">
        <w:rPr>
          <w:rFonts w:ascii="Times" w:eastAsia="游明朝" w:hAnsi="Times" w:cs="Times"/>
          <w:sz w:val="24"/>
          <w14:ligatures w14:val="none"/>
        </w:rPr>
        <w:t>Morooka</w:t>
      </w:r>
      <w:proofErr w:type="spellEnd"/>
      <w:r w:rsidRPr="004A7A61">
        <w:rPr>
          <w:rFonts w:ascii="Times" w:eastAsia="游明朝" w:hAnsi="Times" w:cs="Times"/>
          <w:sz w:val="24"/>
          <w14:ligatures w14:val="none"/>
        </w:rPr>
        <w:t>,</w:t>
      </w:r>
      <w:r w:rsidRPr="004A7A61">
        <w:rPr>
          <w:rFonts w:ascii="Times" w:eastAsia="游明朝" w:hAnsi="Times" w:cs="Times" w:hint="eastAsia"/>
          <w:sz w:val="24"/>
          <w14:ligatures w14:val="none"/>
        </w:rPr>
        <w:t xml:space="preserve"> Tamao Shishido, </w:t>
      </w:r>
      <w:r w:rsidRPr="004A7A61">
        <w:rPr>
          <w:rFonts w:ascii="Times" w:eastAsia="游明朝" w:hAnsi="Times" w:cs="Times"/>
          <w:sz w:val="24"/>
          <w14:ligatures w14:val="none"/>
        </w:rPr>
        <w:t>Takuya Nakanishi, Takuya Masuda</w:t>
      </w:r>
    </w:p>
    <w:p w14:paraId="51E14C9D" w14:textId="77777777" w:rsidR="004A7A61" w:rsidRPr="004A7A61" w:rsidRDefault="004A7A61" w:rsidP="004A7A61">
      <w:pPr>
        <w:adjustRightInd w:val="0"/>
        <w:snapToGrid w:val="0"/>
        <w:spacing w:line="720" w:lineRule="auto"/>
        <w:jc w:val="both"/>
        <w:rPr>
          <w:rFonts w:ascii="Times" w:eastAsia="游明朝" w:hAnsi="Times" w:cs="Times"/>
          <w:sz w:val="24"/>
          <w14:ligatures w14:val="none"/>
        </w:rPr>
      </w:pPr>
    </w:p>
    <w:p w14:paraId="4B45129A" w14:textId="77777777" w:rsidR="004A7A61" w:rsidRPr="004A7A61" w:rsidRDefault="004A7A61" w:rsidP="004A7A61">
      <w:pPr>
        <w:adjustRightInd w:val="0"/>
        <w:snapToGrid w:val="0"/>
        <w:spacing w:line="720" w:lineRule="auto"/>
        <w:jc w:val="both"/>
        <w:rPr>
          <w:rFonts w:ascii="Times" w:eastAsia="游明朝" w:hAnsi="Times" w:cs="Times"/>
          <w:sz w:val="24"/>
          <w14:ligatures w14:val="none"/>
        </w:rPr>
      </w:pPr>
      <w:hyperlink r:id="rId6" w:history="1">
        <w:r w:rsidRPr="004A7A61">
          <w:rPr>
            <w:rFonts w:ascii="Times" w:eastAsia="游明朝" w:hAnsi="Times" w:cs="Times" w:hint="eastAsia"/>
            <w:color w:val="000000"/>
            <w:sz w:val="24"/>
            <w14:ligatures w14:val="none"/>
          </w:rPr>
          <w:t>Research Center for Energy and Environmental Materials (GREEN)</w:t>
        </w:r>
      </w:hyperlink>
      <w:r w:rsidRPr="004A7A61">
        <w:rPr>
          <w:rFonts w:ascii="Times" w:eastAsia="游明朝" w:hAnsi="Times" w:cs="Times"/>
          <w:color w:val="000000"/>
          <w:sz w:val="24"/>
          <w14:ligatures w14:val="none"/>
        </w:rPr>
        <w:t xml:space="preserve">, </w:t>
      </w:r>
      <w:r w:rsidRPr="004A7A61">
        <w:rPr>
          <w:rFonts w:ascii="Times" w:eastAsia="游明朝" w:hAnsi="Times" w:cs="Times"/>
          <w:sz w:val="24"/>
          <w14:ligatures w14:val="none"/>
        </w:rPr>
        <w:t>National Institute for Materials Science (NIMS), Tsukuba, Ibaraki 305-0044, Japan.</w:t>
      </w:r>
    </w:p>
    <w:p w14:paraId="381C2A1A" w14:textId="33E7898B" w:rsidR="004A7A61" w:rsidRDefault="004A7A61">
      <w:pPr>
        <w:widowControl/>
      </w:pPr>
      <w:r>
        <w:br w:type="page"/>
      </w:r>
    </w:p>
    <w:p w14:paraId="43272E61" w14:textId="77777777" w:rsidR="004A7A61" w:rsidRDefault="004A7A61" w:rsidP="004A7A61">
      <w:pPr>
        <w:adjustRightInd w:val="0"/>
        <w:snapToGrid w:val="0"/>
        <w:spacing w:line="720" w:lineRule="auto"/>
        <w:jc w:val="center"/>
        <w:rPr>
          <w:rFonts w:ascii="Times" w:hAnsi="Times" w:cs="Times"/>
          <w:sz w:val="24"/>
        </w:rPr>
      </w:pPr>
      <w:r>
        <w:object w:dxaOrig="6174" w:dyaOrig="4726" w14:anchorId="645FE0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pt;height:235pt" o:ole="">
            <v:imagedata r:id="rId7" o:title=""/>
          </v:shape>
          <o:OLEObject Type="Embed" ProgID="Origin95.Graph" ShapeID="_x0000_i1025" DrawAspect="Content" ObjectID="_1815470043" r:id="rId8"/>
        </w:object>
      </w:r>
    </w:p>
    <w:p w14:paraId="512B1F72" w14:textId="77777777" w:rsidR="004A7A61" w:rsidRPr="00117440" w:rsidRDefault="004A7A61" w:rsidP="00BB53A3">
      <w:pPr>
        <w:adjustRightInd w:val="0"/>
        <w:snapToGrid w:val="0"/>
        <w:spacing w:line="720" w:lineRule="auto"/>
        <w:jc w:val="both"/>
        <w:rPr>
          <w:rFonts w:ascii="Times" w:hAnsi="Times" w:cs="Times"/>
          <w:sz w:val="24"/>
        </w:rPr>
      </w:pPr>
      <w:r w:rsidRPr="00117440">
        <w:rPr>
          <w:rFonts w:ascii="Times" w:hAnsi="Times" w:cs="Times"/>
          <w:sz w:val="24"/>
        </w:rPr>
        <w:t xml:space="preserve">Figure </w:t>
      </w:r>
      <w:r>
        <w:rPr>
          <w:rFonts w:ascii="Times" w:hAnsi="Times" w:cs="Times" w:hint="eastAsia"/>
          <w:sz w:val="24"/>
        </w:rPr>
        <w:t>S</w:t>
      </w:r>
      <w:r w:rsidRPr="00117440">
        <w:rPr>
          <w:rFonts w:ascii="Times" w:hAnsi="Times" w:cs="Times"/>
          <w:sz w:val="24"/>
        </w:rPr>
        <w:t>1. CV</w:t>
      </w:r>
      <w:r>
        <w:rPr>
          <w:rFonts w:ascii="Times" w:hAnsi="Times" w:cs="Times"/>
          <w:sz w:val="24"/>
        </w:rPr>
        <w:t>s</w:t>
      </w:r>
      <w:r w:rsidRPr="00117440">
        <w:rPr>
          <w:rFonts w:ascii="Times" w:hAnsi="Times" w:cs="Times"/>
          <w:sz w:val="24"/>
        </w:rPr>
        <w:t xml:space="preserve"> of </w:t>
      </w:r>
      <w:r>
        <w:rPr>
          <w:rFonts w:ascii="Times" w:hAnsi="Times" w:cs="Times"/>
          <w:sz w:val="24"/>
        </w:rPr>
        <w:t xml:space="preserve">the Ce-free </w:t>
      </w:r>
      <w:r w:rsidRPr="00117440">
        <w:rPr>
          <w:rFonts w:ascii="Times" w:hAnsi="Times" w:cs="Times"/>
          <w:sz w:val="24"/>
        </w:rPr>
        <w:t>(</w:t>
      </w:r>
      <w:r>
        <w:rPr>
          <w:rFonts w:ascii="Times" w:hAnsi="Times" w:cs="Times" w:hint="eastAsia"/>
          <w:sz w:val="24"/>
        </w:rPr>
        <w:t>b</w:t>
      </w:r>
      <w:r>
        <w:rPr>
          <w:rFonts w:ascii="Times" w:hAnsi="Times" w:cs="Times"/>
          <w:sz w:val="24"/>
        </w:rPr>
        <w:t>lack</w:t>
      </w:r>
      <w:r w:rsidRPr="00117440">
        <w:rPr>
          <w:rFonts w:ascii="Times" w:hAnsi="Times" w:cs="Times"/>
          <w:sz w:val="24"/>
        </w:rPr>
        <w:t>)</w:t>
      </w:r>
      <w:r>
        <w:rPr>
          <w:rFonts w:ascii="Times" w:hAnsi="Times" w:cs="Times"/>
          <w:sz w:val="24"/>
        </w:rPr>
        <w:t xml:space="preserve"> and Ce-modified </w:t>
      </w:r>
      <w:r w:rsidRPr="00117440">
        <w:rPr>
          <w:rFonts w:ascii="Times" w:hAnsi="Times" w:cs="Times"/>
          <w:sz w:val="24"/>
        </w:rPr>
        <w:t>(</w:t>
      </w:r>
      <w:r>
        <w:rPr>
          <w:rFonts w:ascii="Times" w:hAnsi="Times" w:cs="Times"/>
          <w:sz w:val="24"/>
        </w:rPr>
        <w:t>red</w:t>
      </w:r>
      <w:r w:rsidRPr="00117440">
        <w:rPr>
          <w:rFonts w:ascii="Times" w:hAnsi="Times" w:cs="Times"/>
          <w:sz w:val="24"/>
        </w:rPr>
        <w:t>)</w:t>
      </w:r>
      <w:r>
        <w:rPr>
          <w:rFonts w:ascii="Times" w:hAnsi="Times" w:cs="Times"/>
          <w:sz w:val="24"/>
        </w:rPr>
        <w:t xml:space="preserve"> </w:t>
      </w:r>
      <w:proofErr w:type="gramStart"/>
      <w:r w:rsidRPr="00117440">
        <w:rPr>
          <w:rFonts w:ascii="Times" w:hAnsi="Times" w:cs="Times"/>
          <w:sz w:val="24"/>
        </w:rPr>
        <w:t>Pt(</w:t>
      </w:r>
      <w:proofErr w:type="gramEnd"/>
      <w:r w:rsidRPr="00117440">
        <w:rPr>
          <w:rFonts w:ascii="Times" w:hAnsi="Times" w:cs="Times"/>
          <w:sz w:val="24"/>
        </w:rPr>
        <w:t xml:space="preserve">111) </w:t>
      </w:r>
      <w:r>
        <w:rPr>
          <w:rFonts w:ascii="Times" w:hAnsi="Times" w:cs="Times" w:hint="eastAsia"/>
          <w:sz w:val="24"/>
        </w:rPr>
        <w:t>surfaces</w:t>
      </w:r>
      <w:r w:rsidRPr="00117440">
        <w:rPr>
          <w:rFonts w:ascii="Times" w:hAnsi="Times" w:cs="Times"/>
          <w:sz w:val="24"/>
        </w:rPr>
        <w:t xml:space="preserve"> </w:t>
      </w:r>
      <w:r>
        <w:rPr>
          <w:rFonts w:ascii="Times" w:hAnsi="Times" w:cs="Times"/>
          <w:sz w:val="24"/>
        </w:rPr>
        <w:t>measured</w:t>
      </w:r>
      <w:r w:rsidRPr="00117440">
        <w:rPr>
          <w:rFonts w:ascii="Times" w:hAnsi="Times" w:cs="Times"/>
          <w:sz w:val="24"/>
        </w:rPr>
        <w:t xml:space="preserve"> in </w:t>
      </w:r>
      <w:r>
        <w:rPr>
          <w:rFonts w:ascii="Times" w:hAnsi="Times" w:cs="Times"/>
          <w:sz w:val="24"/>
        </w:rPr>
        <w:t xml:space="preserve">a </w:t>
      </w:r>
      <w:r w:rsidRPr="00117440">
        <w:rPr>
          <w:rFonts w:ascii="Times" w:hAnsi="Times" w:cs="Times"/>
          <w:sz w:val="24"/>
        </w:rPr>
        <w:t>0.1 M HClO</w:t>
      </w:r>
      <w:r w:rsidRPr="002B1610">
        <w:rPr>
          <w:rFonts w:ascii="Times" w:hAnsi="Times" w:cs="Times"/>
          <w:sz w:val="24"/>
          <w:vertAlign w:val="subscript"/>
        </w:rPr>
        <w:t>4</w:t>
      </w:r>
      <w:r>
        <w:rPr>
          <w:rFonts w:ascii="Times" w:hAnsi="Times" w:cs="Times"/>
          <w:sz w:val="24"/>
        </w:rPr>
        <w:t xml:space="preserve"> aqueous solution at a scan rate of 50 mV/s</w:t>
      </w:r>
      <w:r w:rsidRPr="00117440">
        <w:rPr>
          <w:rFonts w:ascii="Times" w:hAnsi="Times" w:cs="Times"/>
          <w:sz w:val="24"/>
        </w:rPr>
        <w:t>.</w:t>
      </w:r>
    </w:p>
    <w:p w14:paraId="7E623AF1" w14:textId="77777777" w:rsidR="004A7A61" w:rsidRPr="00AB038E" w:rsidRDefault="004A7A61" w:rsidP="004A7A61">
      <w:pPr>
        <w:adjustRightInd w:val="0"/>
        <w:snapToGrid w:val="0"/>
        <w:spacing w:line="720" w:lineRule="auto"/>
        <w:rPr>
          <w:rFonts w:ascii="Times" w:hAnsi="Times" w:cs="Times"/>
          <w:sz w:val="24"/>
        </w:rPr>
      </w:pPr>
    </w:p>
    <w:p w14:paraId="197C2A49" w14:textId="7FBFAA1C" w:rsidR="004A7A61" w:rsidRDefault="00FB4118" w:rsidP="004A7A61">
      <w:pPr>
        <w:adjustRightInd w:val="0"/>
        <w:snapToGrid w:val="0"/>
        <w:spacing w:line="720" w:lineRule="auto"/>
        <w:rPr>
          <w:rFonts w:ascii="Times" w:hAnsi="Times" w:cs="Times"/>
          <w:sz w:val="24"/>
        </w:rPr>
      </w:pPr>
      <w:r>
        <w:object w:dxaOrig="6174" w:dyaOrig="9371" w14:anchorId="4D409F2C">
          <v:shape id="_x0000_i1026" type="#_x0000_t75" style="width:257pt;height:392pt" o:ole="">
            <v:imagedata r:id="rId9" o:title=""/>
          </v:shape>
          <o:OLEObject Type="Embed" ProgID="Origin95.Graph" ShapeID="_x0000_i1026" DrawAspect="Content" ObjectID="_1815470044" r:id="rId10"/>
        </w:object>
      </w:r>
    </w:p>
    <w:p w14:paraId="4B6EFA60" w14:textId="77777777" w:rsidR="004A7A61" w:rsidRDefault="004A7A61" w:rsidP="00BB53A3">
      <w:pPr>
        <w:adjustRightInd w:val="0"/>
        <w:snapToGrid w:val="0"/>
        <w:spacing w:line="720" w:lineRule="auto"/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 xml:space="preserve">Figure </w:t>
      </w:r>
      <w:r>
        <w:rPr>
          <w:rFonts w:ascii="Times" w:hAnsi="Times" w:cs="Times" w:hint="eastAsia"/>
          <w:sz w:val="24"/>
        </w:rPr>
        <w:t>S2</w:t>
      </w:r>
      <w:r>
        <w:rPr>
          <w:rFonts w:ascii="Times" w:hAnsi="Times" w:cs="Times"/>
          <w:sz w:val="24"/>
        </w:rPr>
        <w:t xml:space="preserve">. CVs of </w:t>
      </w:r>
      <w:r>
        <w:rPr>
          <w:rFonts w:ascii="Times" w:hAnsi="Times" w:cs="Times" w:hint="eastAsia"/>
          <w:sz w:val="24"/>
        </w:rPr>
        <w:t>polycrystalline Pt electrode</w:t>
      </w:r>
      <w:r>
        <w:rPr>
          <w:rFonts w:ascii="Times" w:hAnsi="Times" w:cs="Times"/>
          <w:sz w:val="24"/>
        </w:rPr>
        <w:t xml:space="preserve"> after being immersed</w:t>
      </w:r>
      <w:r>
        <w:rPr>
          <w:rFonts w:ascii="Times" w:hAnsi="Times" w:cs="Times" w:hint="eastAsia"/>
          <w:sz w:val="24"/>
        </w:rPr>
        <w:t xml:space="preserve"> in Ce(NO</w:t>
      </w:r>
      <w:r w:rsidRPr="00B35A0F">
        <w:rPr>
          <w:rFonts w:ascii="Times" w:hAnsi="Times" w:cs="Times"/>
          <w:sz w:val="24"/>
          <w:vertAlign w:val="subscript"/>
        </w:rPr>
        <w:t>3</w:t>
      </w:r>
      <w:r>
        <w:rPr>
          <w:rFonts w:ascii="Times" w:hAnsi="Times" w:cs="Times" w:hint="eastAsia"/>
          <w:sz w:val="24"/>
        </w:rPr>
        <w:t>)</w:t>
      </w:r>
      <w:r w:rsidRPr="00B35A0F">
        <w:rPr>
          <w:rFonts w:ascii="Times" w:hAnsi="Times" w:cs="Times"/>
          <w:sz w:val="24"/>
          <w:vertAlign w:val="subscript"/>
        </w:rPr>
        <w:t>3</w:t>
      </w:r>
      <w:r>
        <w:rPr>
          <w:rFonts w:ascii="Times" w:hAnsi="Times" w:cs="Times" w:hint="eastAsia"/>
          <w:sz w:val="24"/>
        </w:rPr>
        <w:t xml:space="preserve"> aqueous solution with (a)</w:t>
      </w:r>
      <w:r w:rsidRPr="00F33E08">
        <w:rPr>
          <w:rFonts w:ascii="Times" w:hAnsi="Times" w:cs="Times" w:hint="eastAsia"/>
          <w:sz w:val="24"/>
        </w:rPr>
        <w:t xml:space="preserve"> </w:t>
      </w:r>
      <w:r>
        <w:rPr>
          <w:rFonts w:ascii="Times" w:hAnsi="Times" w:cs="Times" w:hint="eastAsia"/>
          <w:sz w:val="24"/>
        </w:rPr>
        <w:t>Ar/H</w:t>
      </w:r>
      <w:r w:rsidRPr="00B35A0F">
        <w:rPr>
          <w:rFonts w:ascii="Times" w:hAnsi="Times" w:cs="Times"/>
          <w:sz w:val="24"/>
          <w:vertAlign w:val="subscript"/>
        </w:rPr>
        <w:t>2</w:t>
      </w:r>
      <w:r>
        <w:rPr>
          <w:rFonts w:ascii="Times" w:hAnsi="Times" w:cs="Times" w:hint="eastAsia"/>
          <w:sz w:val="24"/>
        </w:rPr>
        <w:t xml:space="preserve"> gas bubbling and (b) </w:t>
      </w:r>
      <w:r>
        <w:rPr>
          <w:rFonts w:ascii="Times" w:hAnsi="Times" w:cs="Times"/>
          <w:sz w:val="24"/>
        </w:rPr>
        <w:t xml:space="preserve">holding the potential at </w:t>
      </w:r>
      <w:r w:rsidRPr="00241236">
        <w:rPr>
          <w:rFonts w:ascii="Times" w:hAnsi="Times" w:cs="Times"/>
          <w:sz w:val="24"/>
          <w:lang w:val="en"/>
        </w:rPr>
        <w:t>−</w:t>
      </w:r>
      <w:r>
        <w:rPr>
          <w:rFonts w:ascii="Times" w:hAnsi="Times" w:cs="Times"/>
          <w:sz w:val="24"/>
        </w:rPr>
        <w:t>0.2 V vs. Ag/AgCl</w:t>
      </w:r>
      <w:r>
        <w:rPr>
          <w:rFonts w:ascii="Times" w:hAnsi="Times" w:cs="Times" w:hint="eastAsia"/>
          <w:sz w:val="24"/>
        </w:rPr>
        <w:t xml:space="preserve"> and (c) without Ar/H</w:t>
      </w:r>
      <w:r w:rsidRPr="00B35A0F">
        <w:rPr>
          <w:rFonts w:ascii="Times" w:hAnsi="Times" w:cs="Times"/>
          <w:sz w:val="24"/>
          <w:vertAlign w:val="subscript"/>
        </w:rPr>
        <w:t>2</w:t>
      </w:r>
      <w:r>
        <w:rPr>
          <w:rFonts w:ascii="Times" w:hAnsi="Times" w:cs="Times" w:hint="eastAsia"/>
          <w:sz w:val="24"/>
        </w:rPr>
        <w:t xml:space="preserve"> gas bubbling, and after </w:t>
      </w:r>
      <w:r>
        <w:rPr>
          <w:rFonts w:ascii="Times" w:hAnsi="Times" w:cs="Times"/>
          <w:sz w:val="24"/>
        </w:rPr>
        <w:t>(</w:t>
      </w:r>
      <w:r>
        <w:rPr>
          <w:rFonts w:ascii="Times" w:hAnsi="Times" w:cs="Times" w:hint="eastAsia"/>
          <w:sz w:val="24"/>
        </w:rPr>
        <w:t>d</w:t>
      </w:r>
      <w:r>
        <w:rPr>
          <w:rFonts w:ascii="Times" w:hAnsi="Times" w:cs="Times"/>
          <w:sz w:val="24"/>
        </w:rPr>
        <w:t>) drop-casting</w:t>
      </w:r>
      <w:r>
        <w:rPr>
          <w:rFonts w:ascii="Times" w:hAnsi="Times" w:cs="Times" w:hint="eastAsia"/>
          <w:sz w:val="24"/>
        </w:rPr>
        <w:t xml:space="preserve"> Ce(NO</w:t>
      </w:r>
      <w:r w:rsidRPr="00B35A0F">
        <w:rPr>
          <w:rFonts w:ascii="Times" w:hAnsi="Times" w:cs="Times"/>
          <w:sz w:val="24"/>
          <w:vertAlign w:val="subscript"/>
        </w:rPr>
        <w:t>3</w:t>
      </w:r>
      <w:r>
        <w:rPr>
          <w:rFonts w:ascii="Times" w:hAnsi="Times" w:cs="Times" w:hint="eastAsia"/>
          <w:sz w:val="24"/>
        </w:rPr>
        <w:t>)</w:t>
      </w:r>
      <w:r w:rsidRPr="00B35A0F">
        <w:rPr>
          <w:rFonts w:ascii="Times" w:hAnsi="Times" w:cs="Times"/>
          <w:sz w:val="24"/>
          <w:vertAlign w:val="subscript"/>
        </w:rPr>
        <w:t>3</w:t>
      </w:r>
      <w:r>
        <w:rPr>
          <w:rFonts w:ascii="Times" w:hAnsi="Times" w:cs="Times" w:hint="eastAsia"/>
          <w:sz w:val="24"/>
        </w:rPr>
        <w:t xml:space="preserve"> aqueous solution (red), together with those of pristine polycrystalline Pt surface (black) </w:t>
      </w:r>
      <w:r w:rsidRPr="00B7781C">
        <w:rPr>
          <w:rFonts w:ascii="Times" w:hAnsi="Times" w:cs="Times"/>
          <w:sz w:val="24"/>
        </w:rPr>
        <w:t>in 0.1 M HClO</w:t>
      </w:r>
      <w:r w:rsidRPr="00B7781C">
        <w:rPr>
          <w:rFonts w:ascii="Times" w:hAnsi="Times" w:cs="Times"/>
          <w:sz w:val="24"/>
          <w:vertAlign w:val="subscript"/>
        </w:rPr>
        <w:t>4</w:t>
      </w:r>
      <w:r w:rsidRPr="00B7781C">
        <w:rPr>
          <w:rFonts w:ascii="Times" w:hAnsi="Times" w:cs="Times"/>
          <w:sz w:val="24"/>
        </w:rPr>
        <w:t xml:space="preserve"> aqueous</w:t>
      </w:r>
      <w:r>
        <w:rPr>
          <w:rFonts w:ascii="Times" w:hAnsi="Times" w:cs="Times"/>
          <w:sz w:val="24"/>
        </w:rPr>
        <w:t xml:space="preserve"> solution</w:t>
      </w:r>
      <w:r w:rsidRPr="00761D82">
        <w:rPr>
          <w:rFonts w:ascii="Times" w:hAnsi="Times" w:cs="Times"/>
          <w:sz w:val="24"/>
        </w:rPr>
        <w:t xml:space="preserve"> </w:t>
      </w:r>
      <w:r>
        <w:rPr>
          <w:rFonts w:ascii="Times" w:hAnsi="Times" w:cs="Times" w:hint="eastAsia"/>
          <w:sz w:val="24"/>
        </w:rPr>
        <w:t>saturated with Ar/H</w:t>
      </w:r>
      <w:r w:rsidRPr="00857567">
        <w:rPr>
          <w:rFonts w:ascii="Times" w:hAnsi="Times" w:cs="Times"/>
          <w:sz w:val="24"/>
          <w:vertAlign w:val="subscript"/>
        </w:rPr>
        <w:t>2</w:t>
      </w:r>
      <w:r>
        <w:rPr>
          <w:rFonts w:ascii="Times" w:hAnsi="Times" w:cs="Times" w:hint="eastAsia"/>
          <w:sz w:val="24"/>
        </w:rPr>
        <w:t xml:space="preserve"> gas </w:t>
      </w:r>
      <w:r w:rsidRPr="00761D82">
        <w:rPr>
          <w:rFonts w:ascii="Times" w:hAnsi="Times" w:cs="Times"/>
          <w:sz w:val="24"/>
        </w:rPr>
        <w:t>with a scan rate of 50 mV s</w:t>
      </w:r>
      <w:r w:rsidRPr="00761D82">
        <w:rPr>
          <w:rFonts w:ascii="Times" w:hAnsi="Times" w:cs="Times"/>
          <w:sz w:val="24"/>
          <w:vertAlign w:val="superscript"/>
        </w:rPr>
        <w:t>-1</w:t>
      </w:r>
      <w:r>
        <w:rPr>
          <w:rFonts w:ascii="Times" w:hAnsi="Times" w:cs="Times"/>
          <w:sz w:val="24"/>
        </w:rPr>
        <w:t>.</w:t>
      </w:r>
    </w:p>
    <w:p w14:paraId="7418726D" w14:textId="77777777" w:rsidR="004A7A61" w:rsidRPr="004A7A61" w:rsidRDefault="004A7A61"/>
    <w:sectPr w:rsidR="004A7A61" w:rsidRPr="004A7A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0FC4" w14:textId="77777777" w:rsidR="00580A2A" w:rsidRDefault="00580A2A" w:rsidP="00DC14F3">
      <w:r>
        <w:separator/>
      </w:r>
    </w:p>
  </w:endnote>
  <w:endnote w:type="continuationSeparator" w:id="0">
    <w:p w14:paraId="4BB6CE41" w14:textId="77777777" w:rsidR="00580A2A" w:rsidRDefault="00580A2A" w:rsidP="00DC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EA69" w14:textId="77777777" w:rsidR="00580A2A" w:rsidRDefault="00580A2A" w:rsidP="00DC14F3">
      <w:r>
        <w:separator/>
      </w:r>
    </w:p>
  </w:footnote>
  <w:footnote w:type="continuationSeparator" w:id="0">
    <w:p w14:paraId="6CB97132" w14:textId="77777777" w:rsidR="00580A2A" w:rsidRDefault="00580A2A" w:rsidP="00DC1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61"/>
    <w:rsid w:val="0003352E"/>
    <w:rsid w:val="0009773B"/>
    <w:rsid w:val="0011013C"/>
    <w:rsid w:val="001269EC"/>
    <w:rsid w:val="001B7506"/>
    <w:rsid w:val="001E0528"/>
    <w:rsid w:val="00251509"/>
    <w:rsid w:val="002B5683"/>
    <w:rsid w:val="002F07AA"/>
    <w:rsid w:val="00312A05"/>
    <w:rsid w:val="003A3C0C"/>
    <w:rsid w:val="0040652E"/>
    <w:rsid w:val="0040728C"/>
    <w:rsid w:val="00477852"/>
    <w:rsid w:val="004A7A61"/>
    <w:rsid w:val="00536F31"/>
    <w:rsid w:val="00580A2A"/>
    <w:rsid w:val="00655718"/>
    <w:rsid w:val="006C6087"/>
    <w:rsid w:val="007120A9"/>
    <w:rsid w:val="008B07D9"/>
    <w:rsid w:val="008D16E3"/>
    <w:rsid w:val="008D19C9"/>
    <w:rsid w:val="00916561"/>
    <w:rsid w:val="00A05C8B"/>
    <w:rsid w:val="00A64A92"/>
    <w:rsid w:val="00AC2712"/>
    <w:rsid w:val="00AE40B7"/>
    <w:rsid w:val="00B02EE6"/>
    <w:rsid w:val="00B607B4"/>
    <w:rsid w:val="00B65C91"/>
    <w:rsid w:val="00BB53A3"/>
    <w:rsid w:val="00BB6DD3"/>
    <w:rsid w:val="00CF47E1"/>
    <w:rsid w:val="00D57234"/>
    <w:rsid w:val="00DB3FEE"/>
    <w:rsid w:val="00DC14F3"/>
    <w:rsid w:val="00F70389"/>
    <w:rsid w:val="00FB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4D88D"/>
  <w15:chartTrackingRefBased/>
  <w15:docId w15:val="{258B58A4-9DE5-4A4E-9843-DFE5752E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A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A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A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A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A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A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A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7A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7A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7A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7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7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7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7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7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7A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7A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7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A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7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A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7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A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7A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7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7A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7A6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A7A61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A7A6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A7A61"/>
    <w:rPr>
      <w:szCs w:val="22"/>
      <w14:ligatures w14:val="none"/>
    </w:rPr>
  </w:style>
  <w:style w:type="character" w:customStyle="1" w:styleId="ad">
    <w:name w:val="コメント文字列 (文字)"/>
    <w:basedOn w:val="a0"/>
    <w:link w:val="ac"/>
    <w:uiPriority w:val="99"/>
    <w:rsid w:val="004A7A61"/>
    <w:rPr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DC14F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C14F3"/>
  </w:style>
  <w:style w:type="paragraph" w:styleId="af0">
    <w:name w:val="footer"/>
    <w:basedOn w:val="a"/>
    <w:link w:val="af1"/>
    <w:uiPriority w:val="99"/>
    <w:unhideWhenUsed/>
    <w:rsid w:val="00DC14F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C14F3"/>
  </w:style>
  <w:style w:type="paragraph" w:styleId="af2">
    <w:name w:val="annotation subject"/>
    <w:basedOn w:val="ac"/>
    <w:next w:val="ac"/>
    <w:link w:val="af3"/>
    <w:uiPriority w:val="99"/>
    <w:semiHidden/>
    <w:unhideWhenUsed/>
    <w:rsid w:val="001269EC"/>
    <w:rPr>
      <w:b/>
      <w:bCs/>
      <w:szCs w:val="24"/>
      <w14:ligatures w14:val="standardContextual"/>
    </w:rPr>
  </w:style>
  <w:style w:type="character" w:customStyle="1" w:styleId="af3">
    <w:name w:val="コメント内容 (文字)"/>
    <w:basedOn w:val="ad"/>
    <w:link w:val="af2"/>
    <w:uiPriority w:val="99"/>
    <w:semiHidden/>
    <w:rsid w:val="001269EC"/>
    <w:rPr>
      <w:b/>
      <w:bCs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murai.nims.go.jp/profiles?unit=5061zzzzz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MASUDA Takuya</dc:creator>
  <cp:keywords/>
  <dc:description/>
  <cp:lastModifiedBy>MASUDA Takuya</cp:lastModifiedBy>
  <cp:revision>4</cp:revision>
  <dcterms:created xsi:type="dcterms:W3CDTF">2025-07-31T02:48:00Z</dcterms:created>
  <dcterms:modified xsi:type="dcterms:W3CDTF">2025-07-31T03:28:00Z</dcterms:modified>
</cp:coreProperties>
</file>