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E2109" w14:textId="77777777" w:rsidR="00E565B4" w:rsidRDefault="00000000">
      <w:pPr>
        <w:spacing w:line="360" w:lineRule="auto"/>
        <w:rPr>
          <w:rFonts w:ascii="Times New Roman" w:hAnsi="Times New Roman"/>
          <w:bCs/>
        </w:rPr>
      </w:pPr>
      <w:r>
        <w:rPr>
          <w:rFonts w:ascii="Times New Roman" w:hAnsi="Times New Roman"/>
          <w:bCs/>
        </w:rPr>
        <w:t xml:space="preserve">DOI: 10.1002/ ((please add manuscript number)) </w:t>
      </w:r>
    </w:p>
    <w:p w14:paraId="5F163BB9" w14:textId="77777777" w:rsidR="00E565B4" w:rsidRDefault="00000000">
      <w:pPr>
        <w:spacing w:line="360" w:lineRule="auto"/>
        <w:rPr>
          <w:rFonts w:ascii="Times New Roman" w:hAnsi="Times New Roman"/>
          <w:b/>
          <w:bCs/>
          <w:sz w:val="28"/>
          <w:szCs w:val="28"/>
        </w:rPr>
      </w:pPr>
      <w:r>
        <w:rPr>
          <w:rFonts w:ascii="Times New Roman" w:hAnsi="Times New Roman"/>
          <w:bCs/>
        </w:rPr>
        <w:t xml:space="preserve">Article type: </w:t>
      </w:r>
      <w:r>
        <w:rPr>
          <w:rFonts w:ascii="Times New Roman" w:hAnsi="Times New Roman" w:hint="eastAsia"/>
          <w:bCs/>
        </w:rPr>
        <w:t>Full Paper</w:t>
      </w:r>
    </w:p>
    <w:p w14:paraId="72FDFFCC" w14:textId="77777777" w:rsidR="00E565B4" w:rsidRDefault="00000000">
      <w:pPr>
        <w:spacing w:line="360" w:lineRule="auto"/>
        <w:rPr>
          <w:rFonts w:ascii="Times New Roman" w:hAnsi="Times New Roman"/>
          <w:b/>
          <w:bCs/>
          <w:sz w:val="28"/>
          <w:szCs w:val="28"/>
        </w:rPr>
      </w:pPr>
      <w:r>
        <w:rPr>
          <w:rFonts w:ascii="Times New Roman" w:hAnsi="Times New Roman" w:hint="eastAsia"/>
          <w:b/>
          <w:bCs/>
          <w:sz w:val="28"/>
          <w:szCs w:val="28"/>
        </w:rPr>
        <w:t xml:space="preserve">Ultrawide Bandgap Diamond for Robust Optoelectronic Synapse </w:t>
      </w:r>
    </w:p>
    <w:p w14:paraId="154B1BEA" w14:textId="77777777" w:rsidR="00E565B4" w:rsidRDefault="00000000">
      <w:pPr>
        <w:spacing w:line="360" w:lineRule="auto"/>
        <w:ind w:right="210"/>
        <w:rPr>
          <w:rFonts w:ascii="Times New Roman" w:hAnsi="Times New Roman"/>
          <w:i/>
          <w:iCs/>
        </w:rPr>
      </w:pPr>
      <w:r>
        <w:rPr>
          <w:rFonts w:ascii="Times New Roman" w:hAnsi="Times New Roman" w:hint="eastAsia"/>
          <w:i/>
          <w:iCs/>
        </w:rPr>
        <w:t>Longxing Su</w:t>
      </w:r>
      <w:r>
        <w:rPr>
          <w:rFonts w:ascii="Times New Roman" w:hAnsi="Times New Roman" w:hint="eastAsia"/>
          <w:i/>
          <w:iCs/>
          <w:vertAlign w:val="superscript"/>
        </w:rPr>
        <w:t>*</w:t>
      </w:r>
      <w:r>
        <w:rPr>
          <w:rFonts w:ascii="Times New Roman" w:hAnsi="Times New Roman" w:hint="eastAsia"/>
          <w:i/>
          <w:iCs/>
        </w:rPr>
        <w:t>, Bin Zhang,</w:t>
      </w:r>
      <w:r>
        <w:rPr>
          <w:rFonts w:ascii="Times New Roman" w:hAnsi="Times New Roman"/>
          <w:b/>
          <w:bCs/>
          <w:i/>
          <w:iCs/>
        </w:rPr>
        <w:t xml:space="preserve"> </w:t>
      </w:r>
      <w:r>
        <w:rPr>
          <w:rFonts w:ascii="Times New Roman" w:hAnsi="Times New Roman" w:hint="eastAsia"/>
          <w:i/>
          <w:iCs/>
        </w:rPr>
        <w:t>Ruqi Yang, Wenzhe Dong, Huiru Sun, Teng Yun, Sudong Wu,</w:t>
      </w:r>
      <w:r>
        <w:rPr>
          <w:rFonts w:ascii="Times New Roman" w:hAnsi="Times New Roman" w:hint="eastAsia"/>
          <w:b/>
          <w:bCs/>
          <w:i/>
          <w:iCs/>
        </w:rPr>
        <w:t xml:space="preserve"> </w:t>
      </w:r>
      <w:r>
        <w:rPr>
          <w:rFonts w:ascii="Times New Roman" w:hAnsi="Times New Roman" w:hint="eastAsia"/>
          <w:i/>
          <w:iCs/>
        </w:rPr>
        <w:t>Jianguo Lu</w:t>
      </w:r>
      <w:r>
        <w:rPr>
          <w:rFonts w:ascii="Times New Roman" w:hAnsi="Times New Roman" w:hint="eastAsia"/>
          <w:b/>
          <w:bCs/>
          <w:i/>
          <w:iCs/>
          <w:vertAlign w:val="superscript"/>
        </w:rPr>
        <w:t>*</w:t>
      </w:r>
      <w:r>
        <w:rPr>
          <w:rFonts w:ascii="Times New Roman" w:hAnsi="Times New Roman" w:hint="eastAsia"/>
          <w:i/>
          <w:iCs/>
        </w:rPr>
        <w:t>, and Meiyong Liao</w:t>
      </w:r>
      <w:r>
        <w:rPr>
          <w:rFonts w:ascii="Times New Roman" w:hAnsi="Times New Roman" w:hint="eastAsia"/>
          <w:i/>
          <w:iCs/>
          <w:vertAlign w:val="superscript"/>
        </w:rPr>
        <w:t>*</w:t>
      </w:r>
    </w:p>
    <w:p w14:paraId="7D7A9B93" w14:textId="77777777" w:rsidR="00E565B4" w:rsidRDefault="00000000">
      <w:pPr>
        <w:spacing w:line="360" w:lineRule="auto"/>
        <w:ind w:right="210"/>
        <w:rPr>
          <w:rFonts w:ascii="Times New Roman" w:hAnsi="Times New Roman"/>
        </w:rPr>
      </w:pPr>
      <w:r>
        <w:rPr>
          <w:rFonts w:ascii="Times New Roman" w:hAnsi="Times New Roman" w:hint="eastAsia"/>
        </w:rPr>
        <w:t xml:space="preserve">                                                                      </w:t>
      </w:r>
    </w:p>
    <w:p w14:paraId="63AF3FC0" w14:textId="77777777" w:rsidR="00E565B4" w:rsidRDefault="00000000">
      <w:pPr>
        <w:spacing w:line="360" w:lineRule="auto"/>
        <w:ind w:right="210"/>
        <w:jc w:val="both"/>
        <w:rPr>
          <w:rFonts w:ascii="Times New Roman" w:hAnsi="Times New Roman"/>
        </w:rPr>
      </w:pPr>
      <w:r>
        <w:rPr>
          <w:rFonts w:ascii="Times New Roman" w:hAnsi="Times New Roman" w:hint="eastAsia"/>
        </w:rPr>
        <w:t>Prof</w:t>
      </w:r>
      <w:r>
        <w:rPr>
          <w:rFonts w:ascii="Times New Roman" w:hAnsi="Times New Roman"/>
          <w:lang w:val="de-DE"/>
        </w:rPr>
        <w:t>. L. X. Su</w:t>
      </w:r>
    </w:p>
    <w:p w14:paraId="552D9193" w14:textId="77777777" w:rsidR="00E565B4" w:rsidRDefault="00000000">
      <w:pPr>
        <w:spacing w:line="360" w:lineRule="auto"/>
        <w:ind w:right="210"/>
        <w:jc w:val="both"/>
        <w:rPr>
          <w:rFonts w:ascii="Times New Roman" w:hAnsi="Times New Roman"/>
        </w:rPr>
      </w:pPr>
      <w:r>
        <w:rPr>
          <w:rFonts w:ascii="Times New Roman" w:hAnsi="Times New Roman" w:hint="eastAsia"/>
          <w:lang w:val="de-DE"/>
        </w:rPr>
        <w:t>International School of Microelectronics, Dongguan University of Technology</w:t>
      </w:r>
      <w:r>
        <w:rPr>
          <w:rFonts w:ascii="Times New Roman" w:hAnsi="Times New Roman" w:hint="eastAsia"/>
        </w:rPr>
        <w:t xml:space="preserve">, </w:t>
      </w:r>
      <w:r>
        <w:rPr>
          <w:rFonts w:ascii="Times New Roman" w:hAnsi="Times New Roman" w:hint="eastAsia"/>
          <w:lang w:val="de-DE"/>
        </w:rPr>
        <w:t xml:space="preserve">Dongguan 523808, </w:t>
      </w:r>
      <w:r>
        <w:rPr>
          <w:rFonts w:ascii="Times New Roman" w:hAnsi="Times New Roman" w:hint="eastAsia"/>
        </w:rPr>
        <w:t>People</w:t>
      </w:r>
      <w:r>
        <w:rPr>
          <w:rFonts w:ascii="Times New Roman" w:hAnsi="Times New Roman"/>
        </w:rPr>
        <w:t>’</w:t>
      </w:r>
      <w:r>
        <w:rPr>
          <w:rFonts w:ascii="Times New Roman" w:hAnsi="Times New Roman" w:hint="eastAsia"/>
        </w:rPr>
        <w:t>s Republic of China</w:t>
      </w:r>
    </w:p>
    <w:p w14:paraId="503692A9" w14:textId="77777777" w:rsidR="00E565B4" w:rsidRDefault="00000000">
      <w:pPr>
        <w:spacing w:line="360" w:lineRule="auto"/>
        <w:ind w:right="210"/>
        <w:jc w:val="both"/>
        <w:rPr>
          <w:rFonts w:ascii="Times New Roman" w:hAnsi="Times New Roman"/>
        </w:rPr>
      </w:pPr>
      <w:r>
        <w:rPr>
          <w:rFonts w:ascii="Times New Roman" w:hAnsi="Times New Roman" w:hint="eastAsia"/>
        </w:rPr>
        <w:t>State Key Laboratory of Silicon and Advanced Semiconductor Materials, Zhejiang University, Hangzhou 310027, People</w:t>
      </w:r>
      <w:r>
        <w:rPr>
          <w:rFonts w:ascii="Times New Roman" w:hAnsi="Times New Roman"/>
        </w:rPr>
        <w:t>’</w:t>
      </w:r>
      <w:r>
        <w:rPr>
          <w:rFonts w:ascii="Times New Roman" w:hAnsi="Times New Roman" w:hint="eastAsia"/>
        </w:rPr>
        <w:t>s Republic of China</w:t>
      </w:r>
    </w:p>
    <w:p w14:paraId="58A54A90" w14:textId="77777777" w:rsidR="00E565B4" w:rsidRDefault="00000000">
      <w:pPr>
        <w:spacing w:line="360" w:lineRule="auto"/>
        <w:ind w:right="210"/>
        <w:jc w:val="both"/>
        <w:rPr>
          <w:rFonts w:ascii="Times New Roman" w:hAnsi="Times New Roman"/>
        </w:rPr>
      </w:pPr>
      <w:r>
        <w:rPr>
          <w:rFonts w:ascii="Times New Roman" w:hAnsi="Times New Roman" w:hint="eastAsia"/>
        </w:rPr>
        <w:t>Prof. B. Zhang</w:t>
      </w:r>
    </w:p>
    <w:p w14:paraId="582A691A" w14:textId="77777777" w:rsidR="00E565B4" w:rsidRDefault="00000000">
      <w:pPr>
        <w:spacing w:line="360" w:lineRule="auto"/>
        <w:ind w:right="210"/>
        <w:jc w:val="both"/>
        <w:rPr>
          <w:rFonts w:ascii="Times New Roman" w:hAnsi="Times New Roman"/>
        </w:rPr>
      </w:pPr>
      <w:r>
        <w:rPr>
          <w:rFonts w:ascii="Times New Roman" w:hAnsi="Times New Roman"/>
        </w:rPr>
        <w:t xml:space="preserve">Analytical and Testing Center &amp; College of Physics, Chongqing University, Chongqing 401331, </w:t>
      </w:r>
      <w:r>
        <w:rPr>
          <w:rFonts w:ascii="Times New Roman" w:hAnsi="Times New Roman" w:hint="eastAsia"/>
        </w:rPr>
        <w:t>People</w:t>
      </w:r>
      <w:r>
        <w:rPr>
          <w:rFonts w:ascii="Times New Roman" w:hAnsi="Times New Roman"/>
        </w:rPr>
        <w:t>’</w:t>
      </w:r>
      <w:r>
        <w:rPr>
          <w:rFonts w:ascii="Times New Roman" w:hAnsi="Times New Roman" w:hint="eastAsia"/>
        </w:rPr>
        <w:t>s Republic of China</w:t>
      </w:r>
    </w:p>
    <w:p w14:paraId="6E0EEEC6" w14:textId="77777777" w:rsidR="00E565B4" w:rsidRDefault="00000000">
      <w:pPr>
        <w:spacing w:line="360" w:lineRule="auto"/>
        <w:ind w:right="210"/>
        <w:jc w:val="both"/>
        <w:rPr>
          <w:rFonts w:ascii="Times New Roman" w:hAnsi="Times New Roman"/>
        </w:rPr>
      </w:pPr>
      <w:r>
        <w:rPr>
          <w:rFonts w:ascii="Times New Roman" w:hAnsi="Times New Roman" w:hint="eastAsia"/>
        </w:rPr>
        <w:t>Mr. R. Q. Yang,</w:t>
      </w:r>
      <w:r>
        <w:rPr>
          <w:rFonts w:ascii="Times New Roman" w:hAnsi="Times New Roman" w:hint="eastAsia"/>
          <w:i/>
          <w:iCs/>
        </w:rPr>
        <w:t xml:space="preserve"> </w:t>
      </w:r>
      <w:r>
        <w:rPr>
          <w:rFonts w:ascii="Times New Roman" w:hAnsi="Times New Roman" w:hint="eastAsia"/>
        </w:rPr>
        <w:t>Prof</w:t>
      </w:r>
      <w:r>
        <w:rPr>
          <w:rFonts w:ascii="Times New Roman" w:hAnsi="Times New Roman"/>
          <w:lang w:val="de-DE"/>
        </w:rPr>
        <w:t xml:space="preserve">. </w:t>
      </w:r>
      <w:r>
        <w:rPr>
          <w:rFonts w:ascii="Times New Roman" w:hAnsi="Times New Roman" w:hint="eastAsia"/>
        </w:rPr>
        <w:t>J</w:t>
      </w:r>
      <w:r>
        <w:rPr>
          <w:rFonts w:ascii="Times New Roman" w:hAnsi="Times New Roman"/>
          <w:lang w:val="de-DE"/>
        </w:rPr>
        <w:t xml:space="preserve">. </w:t>
      </w:r>
      <w:r>
        <w:rPr>
          <w:rFonts w:ascii="Times New Roman" w:hAnsi="Times New Roman" w:hint="eastAsia"/>
        </w:rPr>
        <w:t>G</w:t>
      </w:r>
      <w:r>
        <w:rPr>
          <w:rFonts w:ascii="Times New Roman" w:hAnsi="Times New Roman"/>
          <w:lang w:val="de-DE"/>
        </w:rPr>
        <w:t xml:space="preserve">. </w:t>
      </w:r>
      <w:r>
        <w:rPr>
          <w:rFonts w:ascii="Times New Roman" w:hAnsi="Times New Roman" w:hint="eastAsia"/>
        </w:rPr>
        <w:t>Lu</w:t>
      </w:r>
    </w:p>
    <w:p w14:paraId="4DEB0416" w14:textId="77777777" w:rsidR="00E565B4" w:rsidRDefault="00000000">
      <w:pPr>
        <w:spacing w:line="360" w:lineRule="auto"/>
        <w:ind w:right="210"/>
        <w:jc w:val="both"/>
        <w:rPr>
          <w:rFonts w:ascii="Times New Roman" w:hAnsi="Times New Roman"/>
        </w:rPr>
      </w:pPr>
      <w:r>
        <w:rPr>
          <w:rFonts w:ascii="Times New Roman" w:hAnsi="Times New Roman" w:hint="eastAsia"/>
        </w:rPr>
        <w:t>State Key Laboratory of Silicon and Advanced Semiconductor Materials, School of Materials Science and Engineering, Zhejiang University, Hangzhou 310058, People</w:t>
      </w:r>
      <w:r>
        <w:rPr>
          <w:rFonts w:ascii="Times New Roman" w:hAnsi="Times New Roman"/>
        </w:rPr>
        <w:t>’</w:t>
      </w:r>
      <w:r>
        <w:rPr>
          <w:rFonts w:ascii="Times New Roman" w:hAnsi="Times New Roman" w:hint="eastAsia"/>
        </w:rPr>
        <w:t>s Republic of China</w:t>
      </w:r>
    </w:p>
    <w:p w14:paraId="4C089808" w14:textId="77777777" w:rsidR="00E565B4" w:rsidRDefault="00000000">
      <w:pPr>
        <w:spacing w:line="360" w:lineRule="auto"/>
        <w:jc w:val="both"/>
        <w:rPr>
          <w:rFonts w:ascii="Times New Roman" w:hAnsi="Times New Roman"/>
        </w:rPr>
      </w:pPr>
      <w:r>
        <w:rPr>
          <w:rFonts w:ascii="Times New Roman" w:hAnsi="Times New Roman" w:hint="eastAsia"/>
        </w:rPr>
        <w:t xml:space="preserve"> Mr. W. Z. Dong, Ms H. R. Sun</w:t>
      </w:r>
    </w:p>
    <w:p w14:paraId="00BD5529" w14:textId="77777777" w:rsidR="00E565B4" w:rsidRDefault="00000000">
      <w:pPr>
        <w:spacing w:line="360" w:lineRule="auto"/>
        <w:ind w:right="210"/>
        <w:jc w:val="both"/>
        <w:rPr>
          <w:rFonts w:ascii="Times New Roman" w:hAnsi="Times New Roman"/>
        </w:rPr>
      </w:pPr>
      <w:r>
        <w:rPr>
          <w:rFonts w:ascii="Times New Roman" w:hAnsi="Times New Roman"/>
        </w:rPr>
        <w:t xml:space="preserve">School of Electronic Science and Engineering (School of Microelectronics), South China Normal University, Guangzhou 510631, </w:t>
      </w:r>
      <w:r>
        <w:rPr>
          <w:rFonts w:ascii="Times New Roman" w:hAnsi="Times New Roman" w:hint="eastAsia"/>
        </w:rPr>
        <w:t>People</w:t>
      </w:r>
      <w:r>
        <w:rPr>
          <w:rFonts w:ascii="Times New Roman" w:hAnsi="Times New Roman"/>
        </w:rPr>
        <w:t>’</w:t>
      </w:r>
      <w:r>
        <w:rPr>
          <w:rFonts w:ascii="Times New Roman" w:hAnsi="Times New Roman" w:hint="eastAsia"/>
        </w:rPr>
        <w:t>s Republic of China</w:t>
      </w:r>
    </w:p>
    <w:p w14:paraId="7A78A8BC" w14:textId="77777777" w:rsidR="00E565B4" w:rsidRDefault="00000000">
      <w:pPr>
        <w:spacing w:line="360" w:lineRule="auto"/>
        <w:jc w:val="both"/>
        <w:rPr>
          <w:rFonts w:ascii="Times New Roman" w:hAnsi="Times New Roman"/>
        </w:rPr>
      </w:pPr>
      <w:r>
        <w:rPr>
          <w:rFonts w:ascii="Times New Roman" w:hAnsi="Times New Roman" w:hint="eastAsia"/>
        </w:rPr>
        <w:t>Mr. T. Yun, Prof. S. D. Wu</w:t>
      </w:r>
    </w:p>
    <w:p w14:paraId="01EE1FE6" w14:textId="77777777" w:rsidR="00E565B4" w:rsidRDefault="00000000">
      <w:pPr>
        <w:spacing w:line="360" w:lineRule="auto"/>
        <w:ind w:right="210"/>
        <w:jc w:val="both"/>
        <w:rPr>
          <w:rFonts w:ascii="Times New Roman" w:hAnsi="Times New Roman"/>
        </w:rPr>
      </w:pPr>
      <w:r>
        <w:rPr>
          <w:rFonts w:ascii="Times New Roman" w:hAnsi="Times New Roman" w:hint="eastAsia"/>
        </w:rPr>
        <w:t>Yongjiang Laboratory, Ningbo 315202, People</w:t>
      </w:r>
      <w:r>
        <w:rPr>
          <w:rFonts w:ascii="Times New Roman" w:hAnsi="Times New Roman"/>
        </w:rPr>
        <w:t>’</w:t>
      </w:r>
      <w:r>
        <w:rPr>
          <w:rFonts w:ascii="Times New Roman" w:hAnsi="Times New Roman" w:hint="eastAsia"/>
        </w:rPr>
        <w:t>s Republic of China</w:t>
      </w:r>
    </w:p>
    <w:p w14:paraId="274A7347" w14:textId="77777777" w:rsidR="00E565B4" w:rsidRDefault="00000000">
      <w:pPr>
        <w:spacing w:line="360" w:lineRule="auto"/>
        <w:jc w:val="both"/>
        <w:rPr>
          <w:rFonts w:ascii="Times New Roman" w:hAnsi="Times New Roman"/>
        </w:rPr>
      </w:pPr>
      <w:r>
        <w:rPr>
          <w:rFonts w:ascii="Times New Roman" w:hAnsi="Times New Roman" w:hint="eastAsia"/>
        </w:rPr>
        <w:t>Prof. M</w:t>
      </w:r>
      <w:r>
        <w:rPr>
          <w:rFonts w:ascii="Times New Roman" w:hAnsi="Times New Roman"/>
        </w:rPr>
        <w:t xml:space="preserve">. </w:t>
      </w:r>
      <w:r>
        <w:rPr>
          <w:rFonts w:ascii="Times New Roman" w:hAnsi="Times New Roman" w:hint="eastAsia"/>
        </w:rPr>
        <w:t>Y</w:t>
      </w:r>
      <w:r>
        <w:rPr>
          <w:rFonts w:ascii="Times New Roman" w:hAnsi="Times New Roman"/>
        </w:rPr>
        <w:t xml:space="preserve">. </w:t>
      </w:r>
      <w:r>
        <w:rPr>
          <w:rFonts w:ascii="Times New Roman" w:hAnsi="Times New Roman" w:hint="eastAsia"/>
        </w:rPr>
        <w:t>Liao</w:t>
      </w:r>
    </w:p>
    <w:p w14:paraId="6E353186" w14:textId="77777777" w:rsidR="00E565B4" w:rsidRDefault="00000000">
      <w:pPr>
        <w:spacing w:line="360" w:lineRule="auto"/>
        <w:ind w:right="210"/>
        <w:jc w:val="both"/>
        <w:rPr>
          <w:rFonts w:ascii="Times New Roman" w:hAnsi="Times New Roman"/>
        </w:rPr>
      </w:pPr>
      <w:r>
        <w:rPr>
          <w:rFonts w:ascii="Times New Roman" w:hAnsi="Times New Roman" w:hint="eastAsia"/>
        </w:rPr>
        <w:t>Research Center for Electronics and Optical Materials, National Institute for Materials Science (NIMS), Namiki 1-1, Tsukuba, Ibaraki 3050044, Japan</w:t>
      </w:r>
    </w:p>
    <w:p w14:paraId="09B9E482" w14:textId="77777777" w:rsidR="00E565B4" w:rsidRDefault="00000000">
      <w:pPr>
        <w:spacing w:line="360" w:lineRule="auto"/>
        <w:jc w:val="both"/>
        <w:rPr>
          <w:rFonts w:ascii="Times New Roman" w:hAnsi="Times New Roman"/>
          <w:i/>
          <w:iCs/>
        </w:rPr>
      </w:pPr>
      <w:r>
        <w:rPr>
          <w:rFonts w:ascii="Times New Roman" w:hAnsi="Times New Roman" w:hint="eastAsia"/>
          <w:i/>
          <w:iCs/>
          <w:vertAlign w:val="superscript"/>
        </w:rPr>
        <w:t xml:space="preserve">* </w:t>
      </w:r>
      <w:r>
        <w:rPr>
          <w:rFonts w:ascii="Times New Roman" w:hAnsi="Times New Roman"/>
        </w:rPr>
        <w:t>Corresponding authors.</w:t>
      </w:r>
      <w:r>
        <w:rPr>
          <w:rFonts w:ascii="Times New Roman" w:hAnsi="Times New Roman"/>
          <w:i/>
          <w:iCs/>
        </w:rPr>
        <w:t xml:space="preserve"> </w:t>
      </w:r>
    </w:p>
    <w:p w14:paraId="3B800866" w14:textId="21387805" w:rsidR="00E565B4" w:rsidRDefault="00000000">
      <w:pPr>
        <w:pStyle w:val="Addresses"/>
        <w:numPr>
          <w:ilvl w:val="0"/>
          <w:numId w:val="1"/>
        </w:numPr>
        <w:spacing w:line="360" w:lineRule="auto"/>
        <w:jc w:val="both"/>
        <w:rPr>
          <w:rFonts w:ascii="Times New Roman" w:hAnsi="Times New Roman"/>
          <w:b/>
          <w:bCs/>
          <w:sz w:val="28"/>
          <w:szCs w:val="28"/>
        </w:rPr>
      </w:pPr>
      <w:r>
        <w:rPr>
          <w:rFonts w:ascii="Times New Roman" w:hAnsi="Times New Roman"/>
        </w:rPr>
        <w:t>mail addresses:</w:t>
      </w:r>
      <w:r>
        <w:rPr>
          <w:rFonts w:ascii="Times New Roman" w:hAnsi="Times New Roman"/>
          <w:lang w:val="de-DE"/>
        </w:rPr>
        <w:t xml:space="preserve"> </w:t>
      </w:r>
      <w:hyperlink r:id="rId5" w:history="1">
        <w:r>
          <w:rPr>
            <w:rStyle w:val="a5"/>
            <w:rFonts w:ascii="Times New Roman" w:hAnsi="Times New Roman" w:hint="eastAsia"/>
            <w:color w:val="auto"/>
          </w:rPr>
          <w:t>sulongxing</w:t>
        </w:r>
        <w:r>
          <w:rPr>
            <w:rStyle w:val="a5"/>
            <w:rFonts w:ascii="Times New Roman" w:hAnsi="Times New Roman"/>
            <w:color w:val="auto"/>
          </w:rPr>
          <w:t>@</w:t>
        </w:r>
        <w:r>
          <w:rPr>
            <w:rStyle w:val="a5"/>
            <w:rFonts w:ascii="Times New Roman" w:hAnsi="Times New Roman" w:hint="eastAsia"/>
            <w:color w:val="auto"/>
          </w:rPr>
          <w:t>dgut</w:t>
        </w:r>
        <w:r>
          <w:rPr>
            <w:rStyle w:val="a5"/>
            <w:rFonts w:ascii="Times New Roman" w:hAnsi="Times New Roman"/>
            <w:color w:val="auto"/>
          </w:rPr>
          <w:t>.edu.cn</w:t>
        </w:r>
      </w:hyperlink>
      <w:r>
        <w:rPr>
          <w:rFonts w:ascii="Times New Roman" w:hAnsi="Times New Roman"/>
          <w:lang w:val="de-DE"/>
        </w:rPr>
        <w:t xml:space="preserve"> (</w:t>
      </w:r>
      <w:r>
        <w:rPr>
          <w:rFonts w:ascii="Times New Roman" w:hAnsi="Times New Roman" w:hint="eastAsia"/>
        </w:rPr>
        <w:t>L</w:t>
      </w:r>
      <w:r>
        <w:rPr>
          <w:rFonts w:ascii="Times New Roman" w:hAnsi="Times New Roman"/>
          <w:lang w:val="de-DE"/>
        </w:rPr>
        <w:t xml:space="preserve">. </w:t>
      </w:r>
      <w:r>
        <w:rPr>
          <w:rFonts w:ascii="Times New Roman" w:hAnsi="Times New Roman" w:hint="eastAsia"/>
        </w:rPr>
        <w:t>X</w:t>
      </w:r>
      <w:r>
        <w:rPr>
          <w:rFonts w:ascii="Times New Roman" w:hAnsi="Times New Roman"/>
          <w:lang w:val="de-DE"/>
        </w:rPr>
        <w:t xml:space="preserve">. </w:t>
      </w:r>
      <w:r>
        <w:rPr>
          <w:rFonts w:ascii="Times New Roman" w:hAnsi="Times New Roman" w:hint="eastAsia"/>
        </w:rPr>
        <w:t>Su</w:t>
      </w:r>
      <w:r>
        <w:rPr>
          <w:rFonts w:ascii="Times New Roman" w:hAnsi="Times New Roman"/>
          <w:lang w:val="de-DE"/>
        </w:rPr>
        <w:t>)</w:t>
      </w:r>
      <w:r>
        <w:rPr>
          <w:rFonts w:ascii="Times New Roman" w:hAnsi="Times New Roman" w:hint="eastAsia"/>
        </w:rPr>
        <w:t>,</w:t>
      </w:r>
      <w:r>
        <w:rPr>
          <w:rStyle w:val="a5"/>
          <w:rFonts w:ascii="Times New Roman" w:eastAsiaTheme="minorEastAsia" w:hAnsi="Times New Roman" w:cstheme="minorBidi" w:hint="eastAsia"/>
          <w:color w:val="auto"/>
          <w:u w:val="none"/>
        </w:rPr>
        <w:t xml:space="preserve"> </w:t>
      </w:r>
      <w:r>
        <w:rPr>
          <w:rStyle w:val="a5"/>
          <w:rFonts w:ascii="Times New Roman" w:eastAsiaTheme="minorEastAsia" w:hAnsi="Times New Roman" w:cstheme="minorBidi" w:hint="eastAsia"/>
          <w:color w:val="auto"/>
        </w:rPr>
        <w:t>lujianguo@zju.edu.cn</w:t>
      </w:r>
      <w:r>
        <w:rPr>
          <w:rFonts w:ascii="Times New Roman" w:hAnsi="Times New Roman" w:hint="eastAsia"/>
        </w:rPr>
        <w:t xml:space="preserve"> (J. G. Lu), meiyong.liao@nims.go.jp (M. Liao)</w:t>
      </w:r>
    </w:p>
    <w:p w14:paraId="39CEFB3C" w14:textId="77777777" w:rsidR="00E565B4" w:rsidRDefault="00000000">
      <w:pPr>
        <w:spacing w:line="360" w:lineRule="auto"/>
        <w:jc w:val="center"/>
        <w:rPr>
          <w:rFonts w:ascii="Times New Roman" w:hAnsi="Times New Roman"/>
          <w:b/>
          <w:bCs/>
          <w:sz w:val="28"/>
          <w:szCs w:val="28"/>
        </w:rPr>
      </w:pPr>
      <w:r>
        <w:rPr>
          <w:rFonts w:ascii="Times New Roman" w:hAnsi="Times New Roman" w:hint="eastAsia"/>
          <w:b/>
          <w:bCs/>
          <w:sz w:val="28"/>
          <w:szCs w:val="28"/>
        </w:rPr>
        <w:lastRenderedPageBreak/>
        <w:t>Abstract</w:t>
      </w:r>
    </w:p>
    <w:p w14:paraId="5488FFE4" w14:textId="77777777" w:rsidR="00E565B4" w:rsidRDefault="00000000">
      <w:pPr>
        <w:spacing w:line="360" w:lineRule="auto"/>
        <w:jc w:val="both"/>
        <w:rPr>
          <w:rFonts w:ascii="Times New Roman" w:hAnsi="Times New Roman"/>
        </w:rPr>
      </w:pPr>
      <w:r>
        <w:rPr>
          <w:rFonts w:ascii="Times New Roman" w:hAnsi="Times New Roman" w:hint="eastAsia"/>
        </w:rPr>
        <w:t xml:space="preserve">  As a key component for future photonic neuromorphic computing, optoelectronic synapse integrated with photo-electric effect and synaptic plasticity has attracted considerable attention. </w:t>
      </w:r>
      <w:r w:rsidRPr="00832C92">
        <w:rPr>
          <w:rFonts w:ascii="Times New Roman" w:hAnsi="Times New Roman" w:hint="eastAsia"/>
        </w:rPr>
        <w:t>Nevertheless, it remains a great challenge for ultrawide bandgap semiconductors to implement the various functions at a single device level. Her</w:t>
      </w:r>
      <w:r>
        <w:rPr>
          <w:rFonts w:ascii="Times New Roman" w:hAnsi="Times New Roman" w:hint="eastAsia"/>
        </w:rPr>
        <w:t xml:space="preserve">ein, self-supporting poly-crystal diamond with twin crystal feature is prepared by microwave plasma chemical vapor deposition (MPCVD), which shows a broad absorption ranges from near infrared (IR) region to deep ultraviolet (UV) region. Then, we demonstrate a </w:t>
      </w:r>
      <w:r>
        <w:rPr>
          <w:rFonts w:ascii="Times New Roman" w:hAnsi="Times New Roman" w:hint="eastAsia"/>
          <w:bCs/>
          <w:color w:val="000000" w:themeColor="text1"/>
        </w:rPr>
        <w:t xml:space="preserve">two-terminal </w:t>
      </w:r>
      <w:r>
        <w:rPr>
          <w:rFonts w:ascii="Times New Roman" w:hAnsi="Times New Roman" w:hint="eastAsia"/>
        </w:rPr>
        <w:t xml:space="preserve">optoelectronic synaptic device based on the poly-crystal diamond to incorporate persistent photoconductive (PPC) behavior into optoelectronic synapse. The inherent photosensitive memory nature is derived from the PPC effect induced by abundant defects including </w:t>
      </w:r>
      <w:r>
        <w:rPr>
          <w:rFonts w:ascii="Times New Roman" w:hAnsi="Times New Roman" w:hint="eastAsia"/>
          <w:bCs/>
          <w:color w:val="000000" w:themeColor="text1"/>
        </w:rPr>
        <w:t>grain boundary, color center, C vacancy, and non-diamond phase, which successfully mimics the dynamics of biological synapses. More importantly, the intentionally introduced N related deep levels contribute to the longevity of the photo-excited carriers, offering a robust non volatile photo-switch in a diamond device. The diamond synapse realizes a maximum paired pulse facilitation (PPF) index of 174% and effectively imitate the learning-forgetting-relearning behavior of human brain. Moreover, an encryption strategy is proposed inspired by the synaptic device, which offers a new way to improve the security in optical communication. The proposed diamond optoelectronic synaptic device holds profound potential in next generation artificial neuromorphic computing and security communication.</w:t>
      </w:r>
    </w:p>
    <w:p w14:paraId="26CDB887" w14:textId="77777777" w:rsidR="00E565B4" w:rsidRDefault="00E565B4">
      <w:pPr>
        <w:spacing w:line="360" w:lineRule="auto"/>
        <w:rPr>
          <w:rFonts w:ascii="Times New Roman" w:hAnsi="Times New Roman"/>
          <w:b/>
          <w:bCs/>
        </w:rPr>
      </w:pPr>
    </w:p>
    <w:p w14:paraId="3D2CDFB2" w14:textId="77777777" w:rsidR="00E565B4" w:rsidRDefault="00E565B4">
      <w:pPr>
        <w:spacing w:line="360" w:lineRule="auto"/>
        <w:rPr>
          <w:rFonts w:ascii="Times New Roman" w:hAnsi="Times New Roman"/>
          <w:b/>
          <w:bCs/>
        </w:rPr>
      </w:pPr>
    </w:p>
    <w:p w14:paraId="7D8E8288" w14:textId="77777777" w:rsidR="00E565B4" w:rsidRDefault="00E565B4">
      <w:pPr>
        <w:spacing w:line="360" w:lineRule="auto"/>
        <w:rPr>
          <w:rFonts w:ascii="Times New Roman" w:hAnsi="Times New Roman"/>
          <w:b/>
          <w:bCs/>
        </w:rPr>
      </w:pPr>
    </w:p>
    <w:p w14:paraId="5F329790" w14:textId="77777777" w:rsidR="00E565B4" w:rsidRDefault="00E565B4">
      <w:pPr>
        <w:spacing w:line="360" w:lineRule="auto"/>
        <w:rPr>
          <w:rFonts w:ascii="Times New Roman" w:hAnsi="Times New Roman"/>
          <w:b/>
          <w:bCs/>
        </w:rPr>
      </w:pPr>
    </w:p>
    <w:p w14:paraId="32ED4867" w14:textId="77777777" w:rsidR="00E565B4" w:rsidRDefault="00E565B4">
      <w:pPr>
        <w:spacing w:line="360" w:lineRule="auto"/>
        <w:rPr>
          <w:rFonts w:ascii="Times New Roman" w:hAnsi="Times New Roman"/>
          <w:b/>
          <w:bCs/>
        </w:rPr>
      </w:pPr>
    </w:p>
    <w:p w14:paraId="53FF7022" w14:textId="77777777" w:rsidR="00E565B4" w:rsidRDefault="00E565B4"/>
    <w:p w14:paraId="097DA498" w14:textId="77777777" w:rsidR="00E565B4" w:rsidRDefault="00E565B4">
      <w:pPr>
        <w:rPr>
          <w:rFonts w:eastAsia="ＭＳ 明朝"/>
          <w:lang w:eastAsia="ja-JP"/>
        </w:rPr>
      </w:pPr>
    </w:p>
    <w:p w14:paraId="0A673D1A" w14:textId="77777777" w:rsidR="0040143A" w:rsidRPr="0040143A" w:rsidRDefault="0040143A">
      <w:pPr>
        <w:rPr>
          <w:rFonts w:eastAsia="ＭＳ 明朝" w:hint="eastAsia"/>
          <w:lang w:eastAsia="ja-JP"/>
        </w:rPr>
      </w:pPr>
    </w:p>
    <w:p w14:paraId="341FFF56" w14:textId="77777777" w:rsidR="00E565B4" w:rsidRDefault="00E565B4"/>
    <w:p w14:paraId="4A934ED9" w14:textId="77777777" w:rsidR="00E565B4" w:rsidRDefault="00000000">
      <w:pPr>
        <w:rPr>
          <w:rFonts w:ascii="Times New Roman" w:hAnsi="Times New Roman"/>
          <w:b/>
          <w:bCs/>
          <w:sz w:val="28"/>
          <w:szCs w:val="28"/>
        </w:rPr>
      </w:pPr>
      <w:r>
        <w:rPr>
          <w:rFonts w:ascii="Times New Roman" w:hAnsi="Times New Roman"/>
          <w:b/>
          <w:bCs/>
          <w:sz w:val="28"/>
          <w:szCs w:val="28"/>
        </w:rPr>
        <w:lastRenderedPageBreak/>
        <w:t>1</w:t>
      </w:r>
      <w:r>
        <w:rPr>
          <w:rFonts w:ascii="Times New Roman" w:hAnsi="Times New Roman" w:hint="eastAsia"/>
          <w:b/>
          <w:bCs/>
          <w:sz w:val="28"/>
          <w:szCs w:val="28"/>
        </w:rPr>
        <w:t>.</w:t>
      </w:r>
      <w:r>
        <w:rPr>
          <w:rFonts w:ascii="Times New Roman" w:hAnsi="Times New Roman"/>
          <w:b/>
          <w:bCs/>
          <w:sz w:val="28"/>
          <w:szCs w:val="28"/>
        </w:rPr>
        <w:t xml:space="preserve"> Introduction</w:t>
      </w:r>
    </w:p>
    <w:p w14:paraId="1044B50D" w14:textId="350E07F7" w:rsidR="00E565B4" w:rsidRDefault="00000000">
      <w:pPr>
        <w:spacing w:line="360" w:lineRule="auto"/>
        <w:ind w:firstLineChars="100" w:firstLine="240"/>
        <w:jc w:val="both"/>
        <w:rPr>
          <w:rFonts w:ascii="Times New Roman" w:hAnsi="Times New Roman"/>
        </w:rPr>
      </w:pPr>
      <w:r>
        <w:rPr>
          <w:rFonts w:ascii="Times New Roman" w:hAnsi="Times New Roman" w:hint="eastAsia"/>
        </w:rPr>
        <w:t>Modern information technology promoted by big data, artificial intelligence (AI), and Internet of things (I</w:t>
      </w:r>
      <w:r w:rsidR="000F4995">
        <w:rPr>
          <w:rFonts w:ascii="Times New Roman" w:eastAsia="ＭＳ 明朝" w:hAnsi="Times New Roman" w:hint="eastAsia"/>
          <w:lang w:eastAsia="ja-JP"/>
        </w:rPr>
        <w:t>o</w:t>
      </w:r>
      <w:r>
        <w:rPr>
          <w:rFonts w:ascii="Times New Roman" w:hAnsi="Times New Roman" w:hint="eastAsia"/>
        </w:rPr>
        <w:t>T) brings a big challenge to the computing units based on semiconductor integrated circuits. Conventional computing system adopting von Neumann architecture is separately connected by sensor, memory, and processor, which will struggle to meet the exponential demand of the intelligent computing with low energy consumption</w:t>
      </w:r>
      <w:r>
        <w:rPr>
          <w:rFonts w:ascii="Times New Roman" w:hAnsi="Times New Roman" w:hint="eastAsia"/>
          <w:vertAlign w:val="superscript"/>
        </w:rPr>
        <w:t>[1,2]</w:t>
      </w:r>
      <w:r>
        <w:rPr>
          <w:rFonts w:ascii="Times New Roman" w:hAnsi="Times New Roman" w:hint="eastAsia"/>
        </w:rPr>
        <w:t>. As the Moore</w:t>
      </w:r>
      <w:r>
        <w:rPr>
          <w:rFonts w:ascii="Times New Roman" w:hAnsi="Times New Roman"/>
        </w:rPr>
        <w:t>’</w:t>
      </w:r>
      <w:r>
        <w:rPr>
          <w:rFonts w:ascii="Times New Roman" w:hAnsi="Times New Roman" w:hint="eastAsia"/>
        </w:rPr>
        <w:t>s law goes to its limit, this physical partition undoubtedly leads to extremely high energy consumption in ultra-large scale computing, thus developing a new computing architecture is crucial for confronting such big challenge. Inspired by human brain with the most efficient biological processor, artificial synapse induced neuromorphic computing has emerged as one promising solution to overcome the von Neumann bottleneck by mimicking the behaviors between biological synapses</w:t>
      </w:r>
      <w:r>
        <w:rPr>
          <w:rFonts w:ascii="Times New Roman" w:hAnsi="Times New Roman" w:hint="eastAsia"/>
          <w:vertAlign w:val="superscript"/>
        </w:rPr>
        <w:t>[3,4]</w:t>
      </w:r>
      <w:r>
        <w:rPr>
          <w:rFonts w:ascii="Times New Roman" w:hAnsi="Times New Roman" w:hint="eastAsia"/>
        </w:rPr>
        <w:t>. Biologically, a human brain composes of ~10</w:t>
      </w:r>
      <w:r>
        <w:rPr>
          <w:rFonts w:ascii="Times New Roman" w:hAnsi="Times New Roman" w:hint="eastAsia"/>
          <w:vertAlign w:val="superscript"/>
        </w:rPr>
        <w:t>11</w:t>
      </w:r>
      <w:r>
        <w:rPr>
          <w:rFonts w:ascii="Times New Roman" w:hAnsi="Times New Roman" w:hint="eastAsia"/>
        </w:rPr>
        <w:t xml:space="preserve"> neurons connected via ~10</w:t>
      </w:r>
      <w:r>
        <w:rPr>
          <w:rFonts w:ascii="Times New Roman" w:hAnsi="Times New Roman" w:hint="eastAsia"/>
          <w:vertAlign w:val="superscript"/>
        </w:rPr>
        <w:t>15</w:t>
      </w:r>
      <w:r>
        <w:rPr>
          <w:rFonts w:ascii="Times New Roman" w:hAnsi="Times New Roman" w:hint="eastAsia"/>
        </w:rPr>
        <w:t xml:space="preserve"> synapses, and the transfer of information is enabled by such a huge scale synapses</w:t>
      </w:r>
      <w:r>
        <w:rPr>
          <w:rFonts w:ascii="Times New Roman" w:hAnsi="Times New Roman" w:hint="eastAsia"/>
          <w:vertAlign w:val="superscript"/>
        </w:rPr>
        <w:t>[5]</w:t>
      </w:r>
      <w:r>
        <w:rPr>
          <w:rFonts w:ascii="Times New Roman" w:hAnsi="Times New Roman" w:hint="eastAsia"/>
        </w:rPr>
        <w:t>. Therefore, efforts in terms of neuromorphic operation have been proposed based on numerous nonvolatile memristors work at ferroelectronic</w:t>
      </w:r>
      <w:r>
        <w:rPr>
          <w:rFonts w:ascii="Times New Roman" w:hAnsi="Times New Roman" w:hint="eastAsia"/>
          <w:vertAlign w:val="superscript"/>
        </w:rPr>
        <w:t>[6]</w:t>
      </w:r>
      <w:r>
        <w:rPr>
          <w:rFonts w:ascii="Times New Roman" w:hAnsi="Times New Roman" w:hint="eastAsia"/>
        </w:rPr>
        <w:t>, phase-change</w:t>
      </w:r>
      <w:r>
        <w:rPr>
          <w:rFonts w:ascii="Times New Roman" w:hAnsi="Times New Roman" w:hint="eastAsia"/>
          <w:vertAlign w:val="superscript"/>
        </w:rPr>
        <w:t>[7]</w:t>
      </w:r>
      <w:r>
        <w:rPr>
          <w:rFonts w:ascii="Times New Roman" w:hAnsi="Times New Roman" w:hint="eastAsia"/>
        </w:rPr>
        <w:t>, and photosensitive</w:t>
      </w:r>
      <w:r>
        <w:rPr>
          <w:rFonts w:ascii="Times New Roman" w:hAnsi="Times New Roman" w:hint="eastAsia"/>
          <w:vertAlign w:val="superscript"/>
        </w:rPr>
        <w:t>[8-10]</w:t>
      </w:r>
      <w:r>
        <w:rPr>
          <w:rFonts w:ascii="Times New Roman" w:hAnsi="Times New Roman" w:hint="eastAsia"/>
        </w:rPr>
        <w:t xml:space="preserve"> mechanisms. Among them, optoelectronic synaptic devices show numerous advantages including wide bandwidth, good interconnect with negligible RC delay and power loss, capable to visual sensing, signal processing, and memory, thus efforts and hotspots have been devoted to its exploration during past few years</w:t>
      </w:r>
      <w:r>
        <w:rPr>
          <w:rFonts w:ascii="Times New Roman" w:hAnsi="Times New Roman" w:hint="eastAsia"/>
          <w:vertAlign w:val="superscript"/>
        </w:rPr>
        <w:t>[11,12]</w:t>
      </w:r>
      <w:r>
        <w:rPr>
          <w:rFonts w:ascii="Times New Roman" w:hAnsi="Times New Roman" w:hint="eastAsia"/>
        </w:rPr>
        <w:t xml:space="preserve">. </w:t>
      </w:r>
    </w:p>
    <w:p w14:paraId="36E25B83" w14:textId="77777777" w:rsidR="00E565B4" w:rsidRDefault="00000000">
      <w:pPr>
        <w:spacing w:line="360" w:lineRule="auto"/>
        <w:ind w:firstLineChars="100" w:firstLine="240"/>
        <w:jc w:val="both"/>
        <w:rPr>
          <w:rFonts w:ascii="Times New Roman" w:hAnsi="Times New Roman"/>
          <w:bCs/>
        </w:rPr>
      </w:pPr>
      <w:r>
        <w:rPr>
          <w:rFonts w:ascii="Times New Roman" w:hAnsi="Times New Roman" w:hint="eastAsia"/>
        </w:rPr>
        <w:t>Optoelectronic synaptic devices can be mainly categorized into three types including optically stimulated synaptic device, synaptic device with optical output, and optically assisted synaptic device</w:t>
      </w:r>
      <w:r>
        <w:rPr>
          <w:rFonts w:ascii="Times New Roman" w:hAnsi="Times New Roman" w:hint="eastAsia"/>
          <w:vertAlign w:val="superscript"/>
        </w:rPr>
        <w:t>[2]</w:t>
      </w:r>
      <w:r>
        <w:rPr>
          <w:rFonts w:ascii="Times New Roman" w:hAnsi="Times New Roman" w:hint="eastAsia"/>
        </w:rPr>
        <w:t>. The basic functionalities such as short-term plasticity/memory (STP/STM), long-term plasticity/memory (STP/STM), and paired pulse facilitation (PPF) strongly rely on the the memristive characteristic of the materials. To date, a great number of materials including the emerging perovskites</w:t>
      </w:r>
      <w:r>
        <w:rPr>
          <w:rFonts w:ascii="Times New Roman" w:hAnsi="Times New Roman" w:hint="eastAsia"/>
          <w:vertAlign w:val="superscript"/>
        </w:rPr>
        <w:t>[13-15]</w:t>
      </w:r>
      <w:r>
        <w:rPr>
          <w:rFonts w:ascii="Times New Roman" w:hAnsi="Times New Roman" w:hint="eastAsia"/>
        </w:rPr>
        <w:t>, two-dimensional (2D) materials</w:t>
      </w:r>
      <w:r>
        <w:rPr>
          <w:rFonts w:ascii="Times New Roman" w:hAnsi="Times New Roman" w:hint="eastAsia"/>
          <w:vertAlign w:val="superscript"/>
        </w:rPr>
        <w:t>[16-18]</w:t>
      </w:r>
      <w:r>
        <w:rPr>
          <w:rFonts w:ascii="Times New Roman" w:hAnsi="Times New Roman" w:hint="eastAsia"/>
        </w:rPr>
        <w:t>, and conventional semiconductors</w:t>
      </w:r>
      <w:r>
        <w:rPr>
          <w:rFonts w:ascii="Times New Roman" w:hAnsi="Times New Roman" w:hint="eastAsia"/>
          <w:vertAlign w:val="superscript"/>
        </w:rPr>
        <w:t>[19-26]</w:t>
      </w:r>
      <w:r>
        <w:rPr>
          <w:rFonts w:ascii="Times New Roman" w:hAnsi="Times New Roman" w:hint="eastAsia"/>
        </w:rPr>
        <w:t xml:space="preserve"> have been proposed for fabricating optoelectronic synaptic devices. Though new scientific </w:t>
      </w:r>
      <w:r>
        <w:rPr>
          <w:rFonts w:ascii="Times New Roman" w:hAnsi="Times New Roman" w:hint="eastAsia"/>
        </w:rPr>
        <w:lastRenderedPageBreak/>
        <w:t>findings have constantly been observed on the emerging pervoskites and 2D materials, the conventional semiconductors are more stable and have more potential in future applications owing to their good compatibility with microelectronic crafts. Among conventional semiconductors, the fourth generation semiconductors (or ultrawide bandgap semiconductors) like Ga</w:t>
      </w:r>
      <w:r>
        <w:rPr>
          <w:rFonts w:ascii="Times New Roman" w:hAnsi="Times New Roman" w:hint="eastAsia"/>
          <w:vertAlign w:val="subscript"/>
        </w:rPr>
        <w:t>2</w:t>
      </w:r>
      <w:r>
        <w:rPr>
          <w:rFonts w:ascii="Times New Roman" w:hAnsi="Times New Roman" w:hint="eastAsia"/>
        </w:rPr>
        <w:t>O</w:t>
      </w:r>
      <w:r>
        <w:rPr>
          <w:rFonts w:ascii="Times New Roman" w:hAnsi="Times New Roman" w:hint="eastAsia"/>
          <w:vertAlign w:val="subscript"/>
        </w:rPr>
        <w:t xml:space="preserve">3 </w:t>
      </w:r>
      <w:r>
        <w:rPr>
          <w:rFonts w:ascii="Times New Roman" w:hAnsi="Times New Roman" w:hint="eastAsia"/>
        </w:rPr>
        <w:t>and diamond have attracted significant attentions from both academia and industry because of their immature but promising marketization. And definitely, diamond has the unique advantage with the topmost thermal conductivity (~2200 W/m</w:t>
      </w:r>
      <w:r>
        <w:rPr>
          <w:rFonts w:ascii="Times New Roman" w:hAnsi="Times New Roman"/>
        </w:rPr>
        <w:t>·</w:t>
      </w:r>
      <w:r>
        <w:rPr>
          <w:rFonts w:ascii="Times New Roman" w:hAnsi="Times New Roman" w:hint="eastAsia"/>
        </w:rPr>
        <w:t>K)</w:t>
      </w:r>
      <w:r>
        <w:rPr>
          <w:rFonts w:ascii="Times New Roman" w:hAnsi="Times New Roman" w:hint="eastAsia"/>
          <w:vertAlign w:val="superscript"/>
        </w:rPr>
        <w:t xml:space="preserve">[27] </w:t>
      </w:r>
      <w:r>
        <w:rPr>
          <w:rFonts w:ascii="Times New Roman" w:hAnsi="Times New Roman" w:hint="eastAsia"/>
        </w:rPr>
        <w:t>in the world, which is far higher than that of Ga</w:t>
      </w:r>
      <w:r>
        <w:rPr>
          <w:rFonts w:ascii="Times New Roman" w:hAnsi="Times New Roman" w:hint="eastAsia"/>
          <w:vertAlign w:val="subscript"/>
        </w:rPr>
        <w:t>2</w:t>
      </w:r>
      <w:r>
        <w:rPr>
          <w:rFonts w:ascii="Times New Roman" w:hAnsi="Times New Roman" w:hint="eastAsia"/>
        </w:rPr>
        <w:t>O</w:t>
      </w:r>
      <w:r>
        <w:rPr>
          <w:rFonts w:ascii="Times New Roman" w:hAnsi="Times New Roman" w:hint="eastAsia"/>
          <w:vertAlign w:val="subscript"/>
        </w:rPr>
        <w:t>3</w:t>
      </w:r>
      <w:r>
        <w:rPr>
          <w:rFonts w:ascii="Times New Roman" w:hAnsi="Times New Roman" w:hint="eastAsia"/>
        </w:rPr>
        <w:t xml:space="preserve"> (10 ~ 30 W/m</w:t>
      </w:r>
      <w:r>
        <w:rPr>
          <w:rFonts w:ascii="Times New Roman" w:hAnsi="Times New Roman"/>
        </w:rPr>
        <w:t>·</w:t>
      </w:r>
      <w:r>
        <w:rPr>
          <w:rFonts w:ascii="Times New Roman" w:hAnsi="Times New Roman" w:hint="eastAsia"/>
        </w:rPr>
        <w:t>K)</w:t>
      </w:r>
      <w:r>
        <w:rPr>
          <w:rFonts w:ascii="Times New Roman" w:hAnsi="Times New Roman" w:hint="eastAsia"/>
          <w:vertAlign w:val="superscript"/>
        </w:rPr>
        <w:t>[28]</w:t>
      </w:r>
      <w:r>
        <w:rPr>
          <w:rFonts w:ascii="Times New Roman" w:hAnsi="Times New Roman" w:hint="eastAsia"/>
        </w:rPr>
        <w:t>. The excellent thermal performance is crucial in ultra-large scale computation, which can rapidly realize heat dissipation and greatly reduce the power consumption. In addition, as a semiconductor built with only one element C, the defect category in diamond is much simpler than that in compound semiconductors and alloy semiconductors. More importantly, deep or even ultra-deep levels can be easily introduced owing to the ultrawide bandgap nature of diamond, which is the key for fabricating a non-volatile photo-switch manipulated by sub-bandgap illumination</w:t>
      </w:r>
      <w:r>
        <w:rPr>
          <w:rFonts w:ascii="Times New Roman" w:hAnsi="Times New Roman" w:hint="eastAsia"/>
          <w:vertAlign w:val="superscript"/>
        </w:rPr>
        <w:t>[29]</w:t>
      </w:r>
      <w:r>
        <w:rPr>
          <w:rFonts w:ascii="Times New Roman" w:hAnsi="Times New Roman" w:hint="eastAsia"/>
        </w:rPr>
        <w:t>. In diamond, the normally observed nitrogen relevant deep levels fall within the range from 1.7 to 2.2 eV</w:t>
      </w:r>
      <w:r>
        <w:rPr>
          <w:rFonts w:ascii="Times New Roman" w:hAnsi="Times New Roman" w:hint="eastAsia"/>
          <w:vertAlign w:val="superscript"/>
        </w:rPr>
        <w:t>[30]</w:t>
      </w:r>
      <w:r>
        <w:rPr>
          <w:rFonts w:ascii="Times New Roman" w:hAnsi="Times New Roman" w:hint="eastAsia"/>
        </w:rPr>
        <w:t xml:space="preserve">, which bring long turn-ON and turn-OFF durations within the optical activation. And theoretically, the ionized time constant is tightly relevant to the electron capture cross-section and energy level of the deep defects. Thus, the intentionally introduced deep levels is a good way toward the longevity of the non-volatile OFF-state while the report is still rare in diamond. </w:t>
      </w:r>
    </w:p>
    <w:p w14:paraId="24DD7560" w14:textId="77777777" w:rsidR="00E565B4" w:rsidRDefault="00000000">
      <w:pPr>
        <w:snapToGrid w:val="0"/>
        <w:spacing w:line="360" w:lineRule="auto"/>
        <w:ind w:firstLineChars="100" w:firstLine="240"/>
        <w:jc w:val="both"/>
        <w:rPr>
          <w:rFonts w:ascii="Times New Roman" w:hAnsi="Times New Roman"/>
        </w:rPr>
      </w:pPr>
      <w:r>
        <w:rPr>
          <w:rFonts w:ascii="Times New Roman" w:hAnsi="Times New Roman"/>
          <w:bCs/>
          <w:color w:val="000000" w:themeColor="text1"/>
        </w:rPr>
        <w:t>In this study, a</w:t>
      </w:r>
      <w:r>
        <w:rPr>
          <w:rFonts w:ascii="Times New Roman" w:hAnsi="Times New Roman" w:hint="eastAsia"/>
          <w:bCs/>
          <w:color w:val="000000" w:themeColor="text1"/>
        </w:rPr>
        <w:t xml:space="preserve"> device architecture based on nitrogen doped poly-crystal diamond with two symmetry ITO electrodes</w:t>
      </w:r>
      <w:r>
        <w:rPr>
          <w:rFonts w:ascii="Times New Roman" w:hAnsi="Times New Roman"/>
          <w:bCs/>
          <w:color w:val="000000" w:themeColor="text1"/>
        </w:rPr>
        <w:t xml:space="preserve"> has been proposed as an opt</w:t>
      </w:r>
      <w:r>
        <w:rPr>
          <w:rFonts w:ascii="Times New Roman" w:hAnsi="Times New Roman" w:hint="eastAsia"/>
          <w:bCs/>
          <w:color w:val="000000" w:themeColor="text1"/>
        </w:rPr>
        <w:t>oelectronic</w:t>
      </w:r>
      <w:r>
        <w:rPr>
          <w:rFonts w:ascii="Times New Roman" w:hAnsi="Times New Roman"/>
          <w:bCs/>
          <w:color w:val="000000" w:themeColor="text1"/>
        </w:rPr>
        <w:t xml:space="preserve"> synaptic device, </w:t>
      </w:r>
      <w:r>
        <w:rPr>
          <w:rFonts w:ascii="Times New Roman" w:hAnsi="Times New Roman" w:hint="eastAsia"/>
          <w:bCs/>
          <w:color w:val="000000" w:themeColor="text1"/>
        </w:rPr>
        <w:t>by which</w:t>
      </w:r>
      <w:r>
        <w:rPr>
          <w:rFonts w:ascii="Times New Roman" w:hAnsi="Times New Roman"/>
          <w:bCs/>
          <w:color w:val="000000" w:themeColor="text1"/>
        </w:rPr>
        <w:t xml:space="preserve"> </w:t>
      </w:r>
      <w:r>
        <w:rPr>
          <w:rFonts w:ascii="Times New Roman" w:hAnsi="Times New Roman" w:hint="eastAsia"/>
          <w:bCs/>
          <w:color w:val="000000" w:themeColor="text1"/>
        </w:rPr>
        <w:t xml:space="preserve">a new type of </w:t>
      </w:r>
      <w:r>
        <w:rPr>
          <w:rFonts w:ascii="Times New Roman" w:hAnsi="Times New Roman"/>
          <w:bCs/>
          <w:color w:val="000000" w:themeColor="text1"/>
        </w:rPr>
        <w:t>encrypt</w:t>
      </w:r>
      <w:r>
        <w:rPr>
          <w:rFonts w:ascii="Times New Roman" w:hAnsi="Times New Roman" w:hint="eastAsia"/>
          <w:bCs/>
          <w:color w:val="000000" w:themeColor="text1"/>
        </w:rPr>
        <w:t xml:space="preserve">ed </w:t>
      </w:r>
      <w:r>
        <w:rPr>
          <w:rFonts w:ascii="Times New Roman" w:hAnsi="Times New Roman"/>
          <w:bCs/>
          <w:color w:val="000000" w:themeColor="text1"/>
        </w:rPr>
        <w:t xml:space="preserve">optical communication is </w:t>
      </w:r>
      <w:r>
        <w:rPr>
          <w:rFonts w:ascii="Times New Roman" w:hAnsi="Times New Roman" w:hint="eastAsia"/>
          <w:bCs/>
          <w:color w:val="000000" w:themeColor="text1"/>
        </w:rPr>
        <w:t>simultaneously demonstrated</w:t>
      </w:r>
      <w:r>
        <w:rPr>
          <w:rFonts w:ascii="Times New Roman" w:hAnsi="Times New Roman"/>
          <w:bCs/>
          <w:color w:val="000000" w:themeColor="text1"/>
        </w:rPr>
        <w:t xml:space="preserve">. </w:t>
      </w:r>
      <w:r>
        <w:rPr>
          <w:rFonts w:ascii="Times New Roman" w:hAnsi="Times New Roman" w:hint="eastAsia"/>
          <w:bCs/>
          <w:color w:val="000000" w:themeColor="text1"/>
        </w:rPr>
        <w:t xml:space="preserve">The PPC effect introduced by deep-level defects like grain boundary, NV color center, C vacancy is accounting for the resistance memorized characteristic, which can be utilized to mimic the information transfer from pre-synapse to post-synapse. The proposed optoelectronic synaptic device </w:t>
      </w:r>
      <w:r>
        <w:rPr>
          <w:rFonts w:ascii="Times New Roman" w:hAnsi="Times New Roman"/>
          <w:bCs/>
          <w:color w:val="000000" w:themeColor="text1"/>
        </w:rPr>
        <w:t>demonstrates multifunctional synaptic plasticit</w:t>
      </w:r>
      <w:r>
        <w:rPr>
          <w:rFonts w:ascii="Times New Roman" w:hAnsi="Times New Roman" w:hint="eastAsia"/>
          <w:bCs/>
          <w:color w:val="000000" w:themeColor="text1"/>
        </w:rPr>
        <w:t>ies</w:t>
      </w:r>
      <w:r>
        <w:rPr>
          <w:rFonts w:ascii="Times New Roman" w:hAnsi="Times New Roman"/>
          <w:bCs/>
          <w:color w:val="000000" w:themeColor="text1"/>
        </w:rPr>
        <w:t xml:space="preserve"> including pair</w:t>
      </w:r>
      <w:r>
        <w:rPr>
          <w:rFonts w:ascii="Times New Roman" w:hAnsi="Times New Roman" w:hint="eastAsia"/>
          <w:bCs/>
          <w:color w:val="000000" w:themeColor="text1"/>
        </w:rPr>
        <w:t>ed</w:t>
      </w:r>
      <w:r>
        <w:rPr>
          <w:rFonts w:ascii="Times New Roman" w:hAnsi="Times New Roman"/>
          <w:bCs/>
          <w:color w:val="000000" w:themeColor="text1"/>
        </w:rPr>
        <w:t xml:space="preserve"> pulse facilitation (PPF),</w:t>
      </w:r>
      <w:r>
        <w:rPr>
          <w:rFonts w:ascii="Times New Roman" w:hAnsi="Times New Roman" w:hint="eastAsia"/>
          <w:bCs/>
          <w:color w:val="000000" w:themeColor="text1"/>
        </w:rPr>
        <w:t xml:space="preserve"> </w:t>
      </w:r>
      <w:r>
        <w:rPr>
          <w:rFonts w:ascii="Times New Roman" w:hAnsi="Times New Roman"/>
          <w:bCs/>
          <w:color w:val="000000" w:themeColor="text1"/>
        </w:rPr>
        <w:t>short-term memory (STM), long-term memory (LTM), and the transition between STM and LTM, as well as the learning-memory</w:t>
      </w:r>
      <w:r>
        <w:rPr>
          <w:rFonts w:ascii="Times New Roman" w:hAnsi="Times New Roman" w:hint="eastAsia"/>
          <w:bCs/>
          <w:color w:val="000000" w:themeColor="text1"/>
        </w:rPr>
        <w:t xml:space="preserve"> behavior</w:t>
      </w:r>
      <w:r>
        <w:rPr>
          <w:rFonts w:ascii="Times New Roman" w:hAnsi="Times New Roman"/>
          <w:bCs/>
          <w:color w:val="000000" w:themeColor="text1"/>
        </w:rPr>
        <w:t xml:space="preserve"> under a </w:t>
      </w:r>
      <w:r>
        <w:rPr>
          <w:rFonts w:ascii="Times New Roman" w:hAnsi="Times New Roman" w:hint="eastAsia"/>
          <w:bCs/>
          <w:color w:val="000000" w:themeColor="text1"/>
        </w:rPr>
        <w:t>405 nm</w:t>
      </w:r>
      <w:r>
        <w:rPr>
          <w:rFonts w:ascii="Times New Roman" w:hAnsi="Times New Roman"/>
          <w:bCs/>
          <w:color w:val="000000" w:themeColor="text1"/>
        </w:rPr>
        <w:t xml:space="preserve"> light</w:t>
      </w:r>
      <w:r>
        <w:rPr>
          <w:rFonts w:ascii="Times New Roman" w:hAnsi="Times New Roman" w:hint="eastAsia"/>
          <w:bCs/>
          <w:color w:val="000000" w:themeColor="text1"/>
        </w:rPr>
        <w:t xml:space="preserve"> operation</w:t>
      </w:r>
      <w:r>
        <w:rPr>
          <w:rFonts w:ascii="Times New Roman" w:hAnsi="Times New Roman"/>
          <w:bCs/>
          <w:color w:val="000000" w:themeColor="text1"/>
        </w:rPr>
        <w:t xml:space="preserve">. More interestingly, </w:t>
      </w:r>
      <w:r>
        <w:rPr>
          <w:rFonts w:ascii="Times New Roman" w:hAnsi="Times New Roman"/>
          <w:bCs/>
          <w:color w:val="000000" w:themeColor="text1"/>
        </w:rPr>
        <w:lastRenderedPageBreak/>
        <w:t xml:space="preserve">the </w:t>
      </w:r>
      <w:r>
        <w:rPr>
          <w:rFonts w:ascii="Times New Roman" w:hAnsi="Times New Roman" w:hint="eastAsia"/>
          <w:bCs/>
          <w:color w:val="000000" w:themeColor="text1"/>
        </w:rPr>
        <w:t>diamond device</w:t>
      </w:r>
      <w:r>
        <w:rPr>
          <w:rFonts w:ascii="Times New Roman" w:hAnsi="Times New Roman"/>
          <w:bCs/>
          <w:color w:val="000000" w:themeColor="text1"/>
        </w:rPr>
        <w:t xml:space="preserve"> </w:t>
      </w:r>
      <w:r>
        <w:rPr>
          <w:rFonts w:ascii="Times New Roman" w:hAnsi="Times New Roman" w:hint="eastAsia"/>
          <w:bCs/>
          <w:color w:val="000000" w:themeColor="text1"/>
        </w:rPr>
        <w:t>offers</w:t>
      </w:r>
      <w:r>
        <w:rPr>
          <w:rFonts w:ascii="Times New Roman" w:hAnsi="Times New Roman"/>
          <w:bCs/>
          <w:color w:val="000000" w:themeColor="text1"/>
        </w:rPr>
        <w:t xml:space="preserve"> a </w:t>
      </w:r>
      <w:r>
        <w:rPr>
          <w:rFonts w:ascii="Times New Roman" w:hAnsi="Times New Roman" w:hint="eastAsia"/>
          <w:bCs/>
          <w:color w:val="000000" w:themeColor="text1"/>
        </w:rPr>
        <w:t>new type of</w:t>
      </w:r>
      <w:r>
        <w:rPr>
          <w:rFonts w:ascii="Times New Roman" w:hAnsi="Times New Roman"/>
          <w:bCs/>
          <w:color w:val="000000" w:themeColor="text1"/>
        </w:rPr>
        <w:t xml:space="preserve"> confidential encryption</w:t>
      </w:r>
      <w:r>
        <w:rPr>
          <w:rFonts w:ascii="Times New Roman" w:hAnsi="Times New Roman" w:hint="eastAsia"/>
          <w:bCs/>
          <w:color w:val="000000" w:themeColor="text1"/>
        </w:rPr>
        <w:t xml:space="preserve"> strategy</w:t>
      </w:r>
      <w:r>
        <w:rPr>
          <w:rFonts w:ascii="Times New Roman" w:hAnsi="Times New Roman"/>
          <w:bCs/>
          <w:color w:val="000000" w:themeColor="text1"/>
        </w:rPr>
        <w:t xml:space="preserve"> in </w:t>
      </w:r>
      <w:r>
        <w:rPr>
          <w:rFonts w:ascii="Times New Roman" w:hAnsi="Times New Roman" w:hint="eastAsia"/>
          <w:bCs/>
          <w:color w:val="000000" w:themeColor="text1"/>
        </w:rPr>
        <w:t>optical</w:t>
      </w:r>
      <w:r>
        <w:rPr>
          <w:rFonts w:ascii="Times New Roman" w:hAnsi="Times New Roman"/>
          <w:bCs/>
          <w:color w:val="000000" w:themeColor="text1"/>
        </w:rPr>
        <w:t xml:space="preserve"> communication system</w:t>
      </w:r>
      <w:r>
        <w:rPr>
          <w:rFonts w:ascii="Times New Roman" w:hAnsi="Times New Roman" w:hint="eastAsia"/>
          <w:bCs/>
          <w:color w:val="000000" w:themeColor="text1"/>
        </w:rPr>
        <w:t xml:space="preserve"> through</w:t>
      </w:r>
      <w:r>
        <w:rPr>
          <w:rFonts w:ascii="Times New Roman" w:hAnsi="Times New Roman"/>
          <w:bCs/>
          <w:color w:val="000000" w:themeColor="text1"/>
        </w:rPr>
        <w:t xml:space="preserve"> exploiting </w:t>
      </w:r>
      <w:r>
        <w:rPr>
          <w:rFonts w:ascii="Times New Roman" w:hAnsi="Times New Roman" w:hint="eastAsia"/>
          <w:bCs/>
          <w:color w:val="000000" w:themeColor="text1"/>
        </w:rPr>
        <w:t>the</w:t>
      </w:r>
      <w:r>
        <w:rPr>
          <w:rFonts w:ascii="Times New Roman" w:hAnsi="Times New Roman"/>
          <w:bCs/>
          <w:color w:val="000000" w:themeColor="text1"/>
        </w:rPr>
        <w:t xml:space="preserve"> synaptic characteristic. Our </w:t>
      </w:r>
      <w:r>
        <w:rPr>
          <w:rFonts w:ascii="Times New Roman" w:hAnsi="Times New Roman" w:hint="eastAsia"/>
          <w:bCs/>
          <w:color w:val="000000" w:themeColor="text1"/>
        </w:rPr>
        <w:t>studies</w:t>
      </w:r>
      <w:r>
        <w:rPr>
          <w:rFonts w:ascii="Times New Roman" w:hAnsi="Times New Roman"/>
          <w:bCs/>
          <w:color w:val="000000" w:themeColor="text1"/>
        </w:rPr>
        <w:t xml:space="preserve"> not only broaden the application of </w:t>
      </w:r>
      <w:r>
        <w:rPr>
          <w:rFonts w:ascii="Times New Roman" w:hAnsi="Times New Roman" w:hint="eastAsia"/>
          <w:bCs/>
          <w:color w:val="000000" w:themeColor="text1"/>
        </w:rPr>
        <w:t>ultrawide bandgap semiconductor diamond</w:t>
      </w:r>
      <w:r>
        <w:rPr>
          <w:rFonts w:ascii="Times New Roman" w:hAnsi="Times New Roman"/>
          <w:bCs/>
          <w:color w:val="000000" w:themeColor="text1"/>
        </w:rPr>
        <w:t xml:space="preserve"> toward the domain of the</w:t>
      </w:r>
      <w:r>
        <w:rPr>
          <w:rFonts w:ascii="Times New Roman" w:hAnsi="Times New Roman" w:hint="eastAsia"/>
          <w:bCs/>
          <w:color w:val="000000" w:themeColor="text1"/>
        </w:rPr>
        <w:t xml:space="preserve"> future</w:t>
      </w:r>
      <w:r>
        <w:rPr>
          <w:rFonts w:ascii="Times New Roman" w:hAnsi="Times New Roman"/>
          <w:bCs/>
          <w:color w:val="000000" w:themeColor="text1"/>
        </w:rPr>
        <w:t xml:space="preserve"> neuromorphic computing, but also brings a </w:t>
      </w:r>
      <w:r>
        <w:rPr>
          <w:rFonts w:ascii="Times New Roman" w:hAnsi="Times New Roman" w:hint="eastAsia"/>
          <w:bCs/>
          <w:color w:val="000000" w:themeColor="text1"/>
        </w:rPr>
        <w:t>potential</w:t>
      </w:r>
      <w:r>
        <w:rPr>
          <w:rFonts w:ascii="Times New Roman" w:hAnsi="Times New Roman"/>
          <w:bCs/>
          <w:color w:val="000000" w:themeColor="text1"/>
        </w:rPr>
        <w:t xml:space="preserve"> avenue for information encryption in </w:t>
      </w:r>
      <w:r>
        <w:rPr>
          <w:rFonts w:ascii="Times New Roman" w:hAnsi="Times New Roman" w:hint="eastAsia"/>
          <w:bCs/>
          <w:color w:val="000000" w:themeColor="text1"/>
        </w:rPr>
        <w:t>optical</w:t>
      </w:r>
      <w:r>
        <w:rPr>
          <w:rFonts w:ascii="Times New Roman" w:hAnsi="Times New Roman"/>
          <w:bCs/>
          <w:color w:val="000000" w:themeColor="text1"/>
        </w:rPr>
        <w:t xml:space="preserve"> communication.</w:t>
      </w:r>
    </w:p>
    <w:p w14:paraId="5EECB3F9" w14:textId="77777777" w:rsidR="00E565B4" w:rsidRDefault="00E565B4">
      <w:pPr>
        <w:snapToGrid w:val="0"/>
        <w:spacing w:line="360" w:lineRule="auto"/>
        <w:jc w:val="both"/>
        <w:rPr>
          <w:rFonts w:ascii="Times New Roman" w:hAnsi="Times New Roman"/>
          <w:bCs/>
          <w:color w:val="000000" w:themeColor="text1"/>
        </w:rPr>
      </w:pPr>
    </w:p>
    <w:p w14:paraId="39C137F7" w14:textId="77777777" w:rsidR="00E565B4" w:rsidRDefault="00E565B4">
      <w:pPr>
        <w:snapToGrid w:val="0"/>
        <w:spacing w:line="360" w:lineRule="auto"/>
        <w:jc w:val="both"/>
        <w:rPr>
          <w:rFonts w:ascii="Times New Roman" w:hAnsi="Times New Roman"/>
          <w:bCs/>
          <w:color w:val="000000" w:themeColor="text1"/>
        </w:rPr>
      </w:pPr>
    </w:p>
    <w:p w14:paraId="448CD6C5" w14:textId="77777777" w:rsidR="00E565B4" w:rsidRDefault="00E565B4">
      <w:pPr>
        <w:snapToGrid w:val="0"/>
        <w:spacing w:line="360" w:lineRule="auto"/>
        <w:jc w:val="both"/>
        <w:rPr>
          <w:rFonts w:ascii="Times New Roman" w:hAnsi="Times New Roman"/>
          <w:bCs/>
          <w:color w:val="000000" w:themeColor="text1"/>
        </w:rPr>
      </w:pPr>
    </w:p>
    <w:p w14:paraId="6A182DD0" w14:textId="77777777" w:rsidR="00E565B4" w:rsidRDefault="00E565B4">
      <w:pPr>
        <w:snapToGrid w:val="0"/>
        <w:spacing w:line="360" w:lineRule="auto"/>
        <w:jc w:val="both"/>
        <w:rPr>
          <w:rFonts w:ascii="Times New Roman" w:hAnsi="Times New Roman"/>
          <w:bCs/>
          <w:color w:val="000000" w:themeColor="text1"/>
        </w:rPr>
      </w:pPr>
    </w:p>
    <w:p w14:paraId="3CA27422" w14:textId="77777777" w:rsidR="00E565B4" w:rsidRDefault="00E565B4">
      <w:pPr>
        <w:snapToGrid w:val="0"/>
        <w:spacing w:line="360" w:lineRule="auto"/>
        <w:jc w:val="both"/>
        <w:rPr>
          <w:rFonts w:ascii="Times New Roman" w:hAnsi="Times New Roman"/>
          <w:bCs/>
          <w:color w:val="000000" w:themeColor="text1"/>
        </w:rPr>
      </w:pPr>
    </w:p>
    <w:p w14:paraId="3F4E0196" w14:textId="77777777" w:rsidR="00E565B4" w:rsidRDefault="00E565B4">
      <w:pPr>
        <w:snapToGrid w:val="0"/>
        <w:spacing w:line="360" w:lineRule="auto"/>
        <w:jc w:val="both"/>
        <w:rPr>
          <w:rFonts w:ascii="Times New Roman" w:hAnsi="Times New Roman"/>
          <w:bCs/>
          <w:color w:val="000000" w:themeColor="text1"/>
        </w:rPr>
      </w:pPr>
    </w:p>
    <w:p w14:paraId="2E9FAB0A" w14:textId="77777777" w:rsidR="00E565B4" w:rsidRDefault="00E565B4">
      <w:pPr>
        <w:snapToGrid w:val="0"/>
        <w:spacing w:line="360" w:lineRule="auto"/>
        <w:jc w:val="both"/>
        <w:rPr>
          <w:rFonts w:ascii="Times New Roman" w:hAnsi="Times New Roman"/>
          <w:bCs/>
          <w:color w:val="000000" w:themeColor="text1"/>
        </w:rPr>
      </w:pPr>
    </w:p>
    <w:p w14:paraId="3E71666A" w14:textId="77777777" w:rsidR="00E565B4" w:rsidRDefault="00E565B4">
      <w:pPr>
        <w:snapToGrid w:val="0"/>
        <w:spacing w:line="360" w:lineRule="auto"/>
        <w:jc w:val="both"/>
        <w:rPr>
          <w:rFonts w:ascii="Times New Roman" w:hAnsi="Times New Roman"/>
          <w:bCs/>
          <w:color w:val="000000" w:themeColor="text1"/>
        </w:rPr>
      </w:pPr>
    </w:p>
    <w:p w14:paraId="1F72CACC" w14:textId="77777777" w:rsidR="00E565B4" w:rsidRDefault="00E565B4">
      <w:pPr>
        <w:snapToGrid w:val="0"/>
        <w:spacing w:line="360" w:lineRule="auto"/>
        <w:jc w:val="both"/>
        <w:rPr>
          <w:rFonts w:ascii="Times New Roman" w:hAnsi="Times New Roman"/>
          <w:bCs/>
          <w:color w:val="000000" w:themeColor="text1"/>
        </w:rPr>
      </w:pPr>
    </w:p>
    <w:p w14:paraId="11DAC93B" w14:textId="77777777" w:rsidR="00E565B4" w:rsidRDefault="00E565B4">
      <w:pPr>
        <w:snapToGrid w:val="0"/>
        <w:spacing w:line="360" w:lineRule="auto"/>
        <w:jc w:val="both"/>
        <w:rPr>
          <w:rFonts w:ascii="Times New Roman" w:hAnsi="Times New Roman"/>
          <w:bCs/>
          <w:color w:val="000000" w:themeColor="text1"/>
        </w:rPr>
      </w:pPr>
    </w:p>
    <w:p w14:paraId="11669D1A" w14:textId="77777777" w:rsidR="00E565B4" w:rsidRDefault="00E565B4">
      <w:pPr>
        <w:snapToGrid w:val="0"/>
        <w:spacing w:line="360" w:lineRule="auto"/>
        <w:jc w:val="both"/>
        <w:rPr>
          <w:rFonts w:ascii="Times New Roman" w:hAnsi="Times New Roman"/>
          <w:bCs/>
          <w:color w:val="000000" w:themeColor="text1"/>
        </w:rPr>
      </w:pPr>
    </w:p>
    <w:p w14:paraId="28A5988F" w14:textId="77777777" w:rsidR="00E565B4" w:rsidRDefault="00E565B4">
      <w:pPr>
        <w:snapToGrid w:val="0"/>
        <w:spacing w:line="360" w:lineRule="auto"/>
        <w:jc w:val="both"/>
        <w:rPr>
          <w:rFonts w:ascii="Times New Roman" w:hAnsi="Times New Roman"/>
          <w:bCs/>
          <w:color w:val="000000" w:themeColor="text1"/>
        </w:rPr>
      </w:pPr>
    </w:p>
    <w:p w14:paraId="73DA5C92" w14:textId="77777777" w:rsidR="00E565B4" w:rsidRDefault="00E565B4">
      <w:pPr>
        <w:snapToGrid w:val="0"/>
        <w:spacing w:line="360" w:lineRule="auto"/>
        <w:jc w:val="both"/>
        <w:rPr>
          <w:rFonts w:ascii="Times New Roman" w:eastAsia="ＭＳ 明朝" w:hAnsi="Times New Roman"/>
          <w:bCs/>
          <w:color w:val="000000" w:themeColor="text1"/>
          <w:lang w:eastAsia="ja-JP"/>
        </w:rPr>
      </w:pPr>
    </w:p>
    <w:p w14:paraId="12BEC8DD" w14:textId="77777777" w:rsidR="0040143A" w:rsidRPr="0040143A" w:rsidRDefault="0040143A">
      <w:pPr>
        <w:snapToGrid w:val="0"/>
        <w:spacing w:line="360" w:lineRule="auto"/>
        <w:jc w:val="both"/>
        <w:rPr>
          <w:rFonts w:ascii="Times New Roman" w:eastAsia="ＭＳ 明朝" w:hAnsi="Times New Roman" w:hint="eastAsia"/>
          <w:bCs/>
          <w:color w:val="000000" w:themeColor="text1"/>
          <w:lang w:eastAsia="ja-JP"/>
        </w:rPr>
      </w:pPr>
    </w:p>
    <w:p w14:paraId="1B1E36D7" w14:textId="77777777" w:rsidR="00E565B4" w:rsidRDefault="00E565B4">
      <w:pPr>
        <w:snapToGrid w:val="0"/>
        <w:spacing w:line="360" w:lineRule="auto"/>
        <w:jc w:val="both"/>
        <w:rPr>
          <w:rFonts w:ascii="Times New Roman" w:hAnsi="Times New Roman"/>
          <w:bCs/>
          <w:color w:val="000000" w:themeColor="text1"/>
        </w:rPr>
      </w:pPr>
    </w:p>
    <w:p w14:paraId="712A9BDC" w14:textId="77777777" w:rsidR="00E565B4" w:rsidRDefault="00E565B4">
      <w:pPr>
        <w:snapToGrid w:val="0"/>
        <w:spacing w:line="360" w:lineRule="auto"/>
        <w:jc w:val="both"/>
        <w:rPr>
          <w:rFonts w:ascii="Times New Roman" w:hAnsi="Times New Roman"/>
          <w:bCs/>
          <w:color w:val="000000" w:themeColor="text1"/>
        </w:rPr>
      </w:pPr>
    </w:p>
    <w:p w14:paraId="0AAA4B40" w14:textId="77777777" w:rsidR="00E565B4" w:rsidRDefault="00E565B4">
      <w:pPr>
        <w:snapToGrid w:val="0"/>
        <w:spacing w:line="360" w:lineRule="auto"/>
        <w:jc w:val="both"/>
        <w:rPr>
          <w:rFonts w:ascii="Times New Roman" w:hAnsi="Times New Roman"/>
          <w:bCs/>
          <w:color w:val="000000" w:themeColor="text1"/>
        </w:rPr>
      </w:pPr>
    </w:p>
    <w:p w14:paraId="42158155" w14:textId="77777777" w:rsidR="00E565B4" w:rsidRDefault="00E565B4">
      <w:pPr>
        <w:snapToGrid w:val="0"/>
        <w:spacing w:line="360" w:lineRule="auto"/>
        <w:jc w:val="both"/>
        <w:rPr>
          <w:rFonts w:ascii="Times New Roman" w:hAnsi="Times New Roman"/>
          <w:bCs/>
          <w:color w:val="000000" w:themeColor="text1"/>
        </w:rPr>
      </w:pPr>
    </w:p>
    <w:p w14:paraId="4E0F84BA" w14:textId="77777777" w:rsidR="00E565B4" w:rsidRDefault="00E565B4">
      <w:pPr>
        <w:snapToGrid w:val="0"/>
        <w:spacing w:line="360" w:lineRule="auto"/>
        <w:jc w:val="both"/>
        <w:rPr>
          <w:rFonts w:ascii="Times New Roman" w:hAnsi="Times New Roman"/>
          <w:bCs/>
          <w:color w:val="000000" w:themeColor="text1"/>
        </w:rPr>
      </w:pPr>
    </w:p>
    <w:p w14:paraId="4463AE29" w14:textId="77777777" w:rsidR="00E565B4" w:rsidRDefault="00E565B4">
      <w:pPr>
        <w:snapToGrid w:val="0"/>
        <w:spacing w:line="360" w:lineRule="auto"/>
        <w:jc w:val="both"/>
        <w:rPr>
          <w:rFonts w:ascii="Times New Roman" w:hAnsi="Times New Roman"/>
          <w:bCs/>
          <w:color w:val="000000" w:themeColor="text1"/>
        </w:rPr>
      </w:pPr>
    </w:p>
    <w:p w14:paraId="3F1D2586" w14:textId="77777777" w:rsidR="00E565B4" w:rsidRDefault="00E565B4">
      <w:pPr>
        <w:snapToGrid w:val="0"/>
        <w:spacing w:line="360" w:lineRule="auto"/>
        <w:jc w:val="both"/>
        <w:rPr>
          <w:rFonts w:ascii="Times New Roman" w:hAnsi="Times New Roman"/>
          <w:bCs/>
          <w:color w:val="000000" w:themeColor="text1"/>
        </w:rPr>
      </w:pPr>
    </w:p>
    <w:p w14:paraId="5C355C38" w14:textId="77777777" w:rsidR="00E565B4" w:rsidRDefault="00E565B4">
      <w:pPr>
        <w:snapToGrid w:val="0"/>
        <w:spacing w:line="360" w:lineRule="auto"/>
        <w:jc w:val="both"/>
        <w:rPr>
          <w:rFonts w:ascii="Times New Roman" w:hAnsi="Times New Roman"/>
          <w:bCs/>
          <w:color w:val="000000" w:themeColor="text1"/>
        </w:rPr>
      </w:pPr>
    </w:p>
    <w:p w14:paraId="061FC8AF" w14:textId="77777777" w:rsidR="00E565B4" w:rsidRDefault="00E565B4">
      <w:pPr>
        <w:snapToGrid w:val="0"/>
        <w:spacing w:line="360" w:lineRule="auto"/>
        <w:jc w:val="both"/>
        <w:rPr>
          <w:rFonts w:ascii="Times New Roman" w:hAnsi="Times New Roman"/>
          <w:bCs/>
          <w:color w:val="000000" w:themeColor="text1"/>
        </w:rPr>
      </w:pPr>
    </w:p>
    <w:p w14:paraId="0C628A1D" w14:textId="77777777" w:rsidR="00E565B4" w:rsidRDefault="00E565B4">
      <w:pPr>
        <w:snapToGrid w:val="0"/>
        <w:spacing w:line="360" w:lineRule="auto"/>
        <w:jc w:val="both"/>
        <w:rPr>
          <w:rFonts w:ascii="Times New Roman" w:hAnsi="Times New Roman"/>
          <w:bCs/>
          <w:color w:val="000000" w:themeColor="text1"/>
        </w:rPr>
      </w:pPr>
    </w:p>
    <w:p w14:paraId="3B593847" w14:textId="77777777" w:rsidR="00E565B4" w:rsidRDefault="00E565B4">
      <w:pPr>
        <w:snapToGrid w:val="0"/>
        <w:spacing w:line="360" w:lineRule="auto"/>
        <w:jc w:val="both"/>
        <w:rPr>
          <w:rFonts w:ascii="Times New Roman" w:hAnsi="Times New Roman"/>
          <w:bCs/>
          <w:color w:val="000000" w:themeColor="text1"/>
        </w:rPr>
      </w:pPr>
    </w:p>
    <w:p w14:paraId="68D0C90B" w14:textId="77777777" w:rsidR="00E565B4" w:rsidRDefault="00E565B4">
      <w:pPr>
        <w:snapToGrid w:val="0"/>
        <w:spacing w:line="360" w:lineRule="auto"/>
        <w:jc w:val="both"/>
        <w:rPr>
          <w:rFonts w:ascii="Times New Roman" w:hAnsi="Times New Roman"/>
          <w:bCs/>
          <w:color w:val="000000" w:themeColor="text1"/>
        </w:rPr>
      </w:pPr>
    </w:p>
    <w:p w14:paraId="2CBD8F40" w14:textId="77777777" w:rsidR="00E565B4" w:rsidRDefault="00E565B4">
      <w:pPr>
        <w:snapToGrid w:val="0"/>
        <w:spacing w:line="360" w:lineRule="auto"/>
        <w:jc w:val="both"/>
        <w:rPr>
          <w:rFonts w:ascii="Times New Roman" w:hAnsi="Times New Roman"/>
          <w:bCs/>
          <w:color w:val="000000" w:themeColor="text1"/>
        </w:rPr>
      </w:pPr>
    </w:p>
    <w:p w14:paraId="7F2D656F" w14:textId="77777777" w:rsidR="00E565B4" w:rsidRDefault="00E565B4">
      <w:pPr>
        <w:snapToGrid w:val="0"/>
        <w:spacing w:line="360" w:lineRule="auto"/>
        <w:jc w:val="both"/>
        <w:rPr>
          <w:rFonts w:ascii="Times New Roman" w:hAnsi="Times New Roman"/>
          <w:bCs/>
          <w:color w:val="000000" w:themeColor="text1"/>
        </w:rPr>
      </w:pPr>
    </w:p>
    <w:p w14:paraId="0B9955B4" w14:textId="77777777" w:rsidR="00E565B4" w:rsidRDefault="00000000">
      <w:pPr>
        <w:rPr>
          <w:rFonts w:ascii="Times New Roman" w:hAnsi="Times New Roman"/>
        </w:rPr>
      </w:pPr>
      <w:r>
        <w:rPr>
          <w:rFonts w:ascii="Times New Roman" w:hAnsi="Times New Roman"/>
          <w:b/>
          <w:bCs/>
          <w:sz w:val="28"/>
          <w:szCs w:val="28"/>
        </w:rPr>
        <w:lastRenderedPageBreak/>
        <w:t>2</w:t>
      </w:r>
      <w:r>
        <w:rPr>
          <w:rFonts w:ascii="Times New Roman" w:hAnsi="Times New Roman" w:hint="eastAsia"/>
          <w:b/>
          <w:bCs/>
          <w:sz w:val="28"/>
          <w:szCs w:val="28"/>
        </w:rPr>
        <w:t>.</w:t>
      </w:r>
      <w:r>
        <w:rPr>
          <w:rFonts w:ascii="Times New Roman" w:hAnsi="Times New Roman"/>
          <w:b/>
          <w:bCs/>
          <w:sz w:val="28"/>
          <w:szCs w:val="28"/>
        </w:rPr>
        <w:t xml:space="preserve"> Results and Discussion</w:t>
      </w:r>
    </w:p>
    <w:p w14:paraId="14798FF8" w14:textId="77777777" w:rsidR="00E565B4" w:rsidRDefault="00000000">
      <w:pPr>
        <w:spacing w:line="360" w:lineRule="auto"/>
        <w:jc w:val="center"/>
        <w:rPr>
          <w:rFonts w:ascii="Times New Roman" w:hAnsi="Times New Roman"/>
        </w:rPr>
      </w:pPr>
      <w:r>
        <w:rPr>
          <w:rFonts w:ascii="Times New Roman" w:hAnsi="Times New Roman"/>
          <w:noProof/>
        </w:rPr>
        <w:drawing>
          <wp:inline distT="0" distB="0" distL="114300" distR="114300" wp14:anchorId="1C811CFE" wp14:editId="20420854">
            <wp:extent cx="5039995" cy="6163310"/>
            <wp:effectExtent l="0" t="0" r="4445" b="8890"/>
            <wp:docPr id="1" name="图片 1" descr="Figure 2-TE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igure 2-TEM-2"/>
                    <pic:cNvPicPr>
                      <a:picLocks noChangeAspect="1"/>
                    </pic:cNvPicPr>
                  </pic:nvPicPr>
                  <pic:blipFill>
                    <a:blip r:embed="rId6"/>
                    <a:stretch>
                      <a:fillRect/>
                    </a:stretch>
                  </pic:blipFill>
                  <pic:spPr>
                    <a:xfrm>
                      <a:off x="0" y="0"/>
                      <a:ext cx="5039995" cy="6163310"/>
                    </a:xfrm>
                    <a:prstGeom prst="rect">
                      <a:avLst/>
                    </a:prstGeom>
                  </pic:spPr>
                </pic:pic>
              </a:graphicData>
            </a:graphic>
          </wp:inline>
        </w:drawing>
      </w:r>
    </w:p>
    <w:p w14:paraId="1694CBB4" w14:textId="77777777" w:rsidR="00E565B4" w:rsidRDefault="00000000">
      <w:pPr>
        <w:spacing w:line="360" w:lineRule="auto"/>
        <w:jc w:val="both"/>
        <w:rPr>
          <w:rFonts w:ascii="Times New Roman" w:hAnsi="Times New Roman"/>
        </w:rPr>
      </w:pPr>
      <w:r>
        <w:rPr>
          <w:rFonts w:ascii="Times New Roman" w:hAnsi="Times New Roman" w:hint="eastAsia"/>
          <w:b/>
          <w:bCs/>
        </w:rPr>
        <w:t>Figure 1.</w:t>
      </w:r>
      <w:r>
        <w:rPr>
          <w:rFonts w:ascii="Times New Roman" w:hAnsi="Times New Roman" w:hint="eastAsia"/>
        </w:rPr>
        <w:t xml:space="preserve"> a) The side-view STEM image of the poly-crystal diamond; b) Atomic configuration model of the twinned part; d) The HRTEM image from the twinned part indicated by the dashed frame in Figure 1a; The HRTEM images from the c) left part and e) right part (indicated by the dashed frames in Figure 1d) of the twinned boundary; f) The FFT pattern from the region indicated in Figure 1c; g) The SAED pattern from the twinned part; h) The FFT pattern from the region indicated in Figure 1e; i) Atomic </w:t>
      </w:r>
      <w:r>
        <w:rPr>
          <w:rFonts w:ascii="Times New Roman" w:hAnsi="Times New Roman" w:hint="eastAsia"/>
        </w:rPr>
        <w:lastRenderedPageBreak/>
        <w:t xml:space="preserve">intensity profiles from HRTEM images along the (111) direction from Figure 1c and 1e. </w:t>
      </w:r>
    </w:p>
    <w:p w14:paraId="65576B1D" w14:textId="77777777" w:rsidR="00E565B4" w:rsidRDefault="00E565B4">
      <w:pPr>
        <w:spacing w:line="360" w:lineRule="auto"/>
        <w:jc w:val="both"/>
        <w:rPr>
          <w:rFonts w:ascii="Times New Roman" w:hAnsi="Times New Roman"/>
        </w:rPr>
      </w:pPr>
    </w:p>
    <w:p w14:paraId="65B5369D" w14:textId="77777777" w:rsidR="00E565B4" w:rsidRDefault="00000000">
      <w:pPr>
        <w:spacing w:line="360" w:lineRule="auto"/>
        <w:ind w:firstLineChars="200" w:firstLine="480"/>
        <w:jc w:val="both"/>
        <w:rPr>
          <w:rFonts w:ascii="Times New Roman" w:hAnsi="Times New Roman"/>
        </w:rPr>
      </w:pPr>
      <w:r>
        <w:rPr>
          <w:rFonts w:ascii="Times New Roman" w:hAnsi="Times New Roman" w:hint="eastAsia"/>
        </w:rPr>
        <w:t xml:space="preserve">The morphology of the as-prepared diamond sample is presented in Figure S1a, and two representative crystals are selected and shown in Figure S1b. Apparently, numbers of crystals with standard prismatic shape can be observed, which clarifies the poly-crystal feature of the sample. Their sizes range from 30 to 120 </w:t>
      </w:r>
      <w:r>
        <w:rPr>
          <w:rFonts w:ascii="Times New Roman" w:hAnsi="Times New Roman"/>
        </w:rPr>
        <w:t>μ</w:t>
      </w:r>
      <w:r>
        <w:rPr>
          <w:rFonts w:ascii="Times New Roman" w:hAnsi="Times New Roman" w:hint="eastAsia"/>
        </w:rPr>
        <w:t>m (inset of Figure S1a). One typical crystal (Figure S1c) is selected for the EDS mapping investigation, and corresponding signals (Figure S1d-f) from C, O, and N elements uniformly distribute in the crystal. The EDS spectrum provided in Figure S2 further confirms the existence of N and O, and 8 randomly spots (Table S1) from the sample</w:t>
      </w:r>
      <w:r>
        <w:rPr>
          <w:rFonts w:ascii="Times New Roman" w:hAnsi="Times New Roman"/>
        </w:rPr>
        <w:t>’</w:t>
      </w:r>
      <w:r>
        <w:rPr>
          <w:rFonts w:ascii="Times New Roman" w:hAnsi="Times New Roman" w:hint="eastAsia"/>
        </w:rPr>
        <w:t>s surface are selected to evaluate their concentration. One main reason of the high O concentration originates from the surface absorbed Oxygen, which is normally probed in poly-crystal diamond and nanodiamond with abundant surfaces and grain boundaries</w:t>
      </w:r>
      <w:r>
        <w:rPr>
          <w:rFonts w:ascii="Times New Roman" w:hAnsi="Times New Roman" w:hint="eastAsia"/>
          <w:vertAlign w:val="superscript"/>
        </w:rPr>
        <w:t>[31,32]</w:t>
      </w:r>
      <w:r>
        <w:rPr>
          <w:rFonts w:ascii="Times New Roman" w:hAnsi="Times New Roman" w:hint="eastAsia"/>
        </w:rPr>
        <w:t>, while N is intentionally introduced for producing deep-level defects. The XPS measurement (Figure S3a) further confirms the surface absorbed Oxygen, and the O-</w:t>
      </w:r>
      <w:r>
        <w:rPr>
          <w:rFonts w:ascii="Times New Roman" w:hAnsi="Times New Roman" w:hint="eastAsia"/>
          <w:i/>
          <w:iCs/>
        </w:rPr>
        <w:t>1s</w:t>
      </w:r>
      <w:r>
        <w:rPr>
          <w:rFonts w:ascii="Times New Roman" w:hAnsi="Times New Roman" w:hint="eastAsia"/>
        </w:rPr>
        <w:t xml:space="preserve"> signal (Figure S3b) dramatically decays as the sample is etched by Ar</w:t>
      </w:r>
      <w:r>
        <w:rPr>
          <w:rFonts w:ascii="Times New Roman" w:hAnsi="Times New Roman" w:hint="eastAsia"/>
          <w:vertAlign w:val="superscript"/>
        </w:rPr>
        <w:t>+</w:t>
      </w:r>
      <w:r>
        <w:rPr>
          <w:rFonts w:ascii="Times New Roman" w:hAnsi="Times New Roman" w:hint="eastAsia"/>
        </w:rPr>
        <w:t xml:space="preserve"> gun, by which the contaminated surface is cleaned. By contrast, the N-</w:t>
      </w:r>
      <w:r>
        <w:rPr>
          <w:rFonts w:ascii="Times New Roman" w:hAnsi="Times New Roman" w:hint="eastAsia"/>
          <w:i/>
          <w:iCs/>
        </w:rPr>
        <w:t>1s</w:t>
      </w:r>
      <w:r>
        <w:rPr>
          <w:rFonts w:ascii="Times New Roman" w:hAnsi="Times New Roman" w:hint="eastAsia"/>
        </w:rPr>
        <w:t xml:space="preserve"> signal (Figure S3c) is independent to the etched time. Additionally, the valence band scanning spectra (Figure S3d) of the as-prepared and etched sample verify the Fermi levels of 2.82 ~ 2.91 eV with respect to the valence band maximum (VBM). Before the measurement of transmission electron microscopy (TEM), focused ion beam (FIB) technique is used to prepare the sample and Figure S4 presents the preparation processes. As shown in Figure 1a, one diamond crystal with twin crystal feature is presented, in which the conductive layer (Au/C/W stacked layers) is used for avoiding the charge accumulation during the measurement. The angles between the left (right) bevel and the twinned boundary is measured as 71.6</w:t>
      </w:r>
      <w:r>
        <w:rPr>
          <w:rFonts w:ascii="Times New Roman" w:hAnsi="Times New Roman" w:hint="eastAsia"/>
          <w:vertAlign w:val="superscript"/>
        </w:rPr>
        <w:t>o</w:t>
      </w:r>
      <w:r>
        <w:rPr>
          <w:rFonts w:ascii="Times New Roman" w:hAnsi="Times New Roman" w:hint="eastAsia"/>
        </w:rPr>
        <w:t xml:space="preserve"> (74.3</w:t>
      </w:r>
      <w:r>
        <w:rPr>
          <w:rFonts w:ascii="Times New Roman" w:hAnsi="Times New Roman" w:hint="eastAsia"/>
          <w:vertAlign w:val="superscript"/>
        </w:rPr>
        <w:t>o</w:t>
      </w:r>
      <w:r>
        <w:rPr>
          <w:rFonts w:ascii="Times New Roman" w:hAnsi="Times New Roman" w:hint="eastAsia"/>
        </w:rPr>
        <w:t>). From the ideal atomic configuration model of the twinned part (Figure 1b), this value should be ~70.5</w:t>
      </w:r>
      <w:r>
        <w:rPr>
          <w:rFonts w:ascii="Times New Roman" w:hAnsi="Times New Roman" w:hint="eastAsia"/>
          <w:vertAlign w:val="superscript"/>
        </w:rPr>
        <w:t xml:space="preserve">o[33,34] </w:t>
      </w:r>
      <w:r>
        <w:rPr>
          <w:rFonts w:ascii="Times New Roman" w:hAnsi="Times New Roman" w:hint="eastAsia"/>
        </w:rPr>
        <w:t xml:space="preserve">and the deviation maybe owing to several factors including stress or different atomic stacking rate during the deposition. Electron back scatter diffraction (EBSD) maps from the twin crystal (Figure </w:t>
      </w:r>
      <w:r>
        <w:rPr>
          <w:rFonts w:ascii="Times New Roman" w:hAnsi="Times New Roman" w:hint="eastAsia"/>
        </w:rPr>
        <w:lastRenderedPageBreak/>
        <w:t xml:space="preserve">S5-6) region also confirms two subgrains belong to the same crystal phase and the symmetric orientation in relative to the grain boundary. The high resolution transmission electron microscopy (HRTEM) from the twinned part (indicated by the dashed frame in Figure 1a) is further chosen for clarifying the micro-structure. As shown in Figures 1c and 1e, both left and right crystals show good single crystal nature with excellent ordered atomic arrangements. From their fast Fourier transform (FFT) patterns presented in Figure 1f and 1h, excellent single crystal nature with clear diffraction spots and symmetric orientation is determined. However, distinct defects (Figure 1d) such as dislocation and grain boundary can be observed within the region between the left and right single crystals. The selected area electron diffraction (SAED) pattern (Figure 1g) from the twinned part exhibits two sets of lattice spots, which in good agreement with the diffraction spots (Figure 1f and 1h) from two separated parts. In addition, all the crystal directions are confirmed by comparing the standard spots derived from diffraction database (Figure S7). Furthermore, ten periodic interplanar distances along the (111) facets from two sides of grain boundary are illustrated in Figure 1i, from which the inter-layer spacings of 2.086 </w:t>
      </w:r>
      <w:r>
        <w:rPr>
          <w:rFonts w:ascii="Times New Roman" w:hAnsi="Times New Roman"/>
        </w:rPr>
        <w:t>Å</w:t>
      </w:r>
      <w:r>
        <w:rPr>
          <w:rFonts w:ascii="Times New Roman" w:hAnsi="Times New Roman" w:hint="eastAsia"/>
        </w:rPr>
        <w:t xml:space="preserve"> and 2.07 </w:t>
      </w:r>
      <w:r>
        <w:rPr>
          <w:rFonts w:ascii="Times New Roman" w:hAnsi="Times New Roman"/>
        </w:rPr>
        <w:t>Å</w:t>
      </w:r>
      <w:r>
        <w:rPr>
          <w:rFonts w:ascii="Times New Roman" w:hAnsi="Times New Roman" w:hint="eastAsia"/>
        </w:rPr>
        <w:t xml:space="preserve"> are calculated, agreeing well with previous reports</w:t>
      </w:r>
      <w:r>
        <w:rPr>
          <w:rFonts w:ascii="Times New Roman" w:hAnsi="Times New Roman" w:hint="eastAsia"/>
          <w:vertAlign w:val="superscript"/>
        </w:rPr>
        <w:t>[35,36]</w:t>
      </w:r>
      <w:r>
        <w:rPr>
          <w:rFonts w:ascii="Times New Roman" w:hAnsi="Times New Roman" w:hint="eastAsia"/>
        </w:rPr>
        <w:t xml:space="preserve">. </w:t>
      </w:r>
    </w:p>
    <w:p w14:paraId="73FD0145" w14:textId="77777777" w:rsidR="00E565B4" w:rsidRDefault="00000000">
      <w:pPr>
        <w:jc w:val="center"/>
      </w:pPr>
      <w:r>
        <w:rPr>
          <w:rFonts w:hint="eastAsia"/>
          <w:noProof/>
        </w:rPr>
        <w:lastRenderedPageBreak/>
        <w:drawing>
          <wp:inline distT="0" distB="0" distL="114300" distR="114300" wp14:anchorId="20464001" wp14:editId="421236C3">
            <wp:extent cx="5039995" cy="4226560"/>
            <wp:effectExtent l="0" t="0" r="4445" b="10160"/>
            <wp:docPr id="8" name="图片 8" descr="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ure 2-3"/>
                    <pic:cNvPicPr>
                      <a:picLocks noChangeAspect="1"/>
                    </pic:cNvPicPr>
                  </pic:nvPicPr>
                  <pic:blipFill>
                    <a:blip r:embed="rId7"/>
                    <a:stretch>
                      <a:fillRect/>
                    </a:stretch>
                  </pic:blipFill>
                  <pic:spPr>
                    <a:xfrm>
                      <a:off x="0" y="0"/>
                      <a:ext cx="5039995" cy="4226560"/>
                    </a:xfrm>
                    <a:prstGeom prst="rect">
                      <a:avLst/>
                    </a:prstGeom>
                  </pic:spPr>
                </pic:pic>
              </a:graphicData>
            </a:graphic>
          </wp:inline>
        </w:drawing>
      </w:r>
    </w:p>
    <w:p w14:paraId="4C26A4E8" w14:textId="77777777" w:rsidR="00E565B4" w:rsidRDefault="00000000">
      <w:pPr>
        <w:widowControl w:val="0"/>
        <w:spacing w:line="360" w:lineRule="auto"/>
        <w:jc w:val="both"/>
        <w:rPr>
          <w:rFonts w:ascii="Times New Roman" w:hAnsi="Times New Roman"/>
        </w:rPr>
      </w:pPr>
      <w:r>
        <w:rPr>
          <w:rFonts w:ascii="Times New Roman" w:hAnsi="Times New Roman" w:hint="eastAsia"/>
          <w:b/>
          <w:bCs/>
        </w:rPr>
        <w:t>Figure 2.</w:t>
      </w:r>
      <w:r>
        <w:rPr>
          <w:rFonts w:ascii="Times New Roman" w:hAnsi="Times New Roman" w:hint="eastAsia"/>
        </w:rPr>
        <w:t xml:space="preserve"> The a) XRD pattern, b) thermogravimetric analysis curve, c) temperature-dependent specific heat capacity, d) absorption spectrum, e) temperature-dependent PL spectra, and f) energy band model of the poly-crystal diamond; </w:t>
      </w:r>
      <w:r>
        <w:rPr>
          <w:rFonts w:ascii="Times New Roman" w:hAnsi="Times New Roman"/>
        </w:rPr>
        <w:t xml:space="preserve">The </w:t>
      </w:r>
      <w:r>
        <w:rPr>
          <w:rFonts w:ascii="Times New Roman" w:hAnsi="Times New Roman" w:hint="eastAsia"/>
        </w:rPr>
        <w:t xml:space="preserve">g) </w:t>
      </w:r>
      <w:r>
        <w:rPr>
          <w:rFonts w:ascii="Times New Roman" w:hAnsi="Times New Roman"/>
        </w:rPr>
        <w:t>typical Raman spectrum of the poly</w:t>
      </w:r>
      <w:r>
        <w:rPr>
          <w:rFonts w:ascii="Times New Roman" w:hAnsi="Times New Roman" w:hint="eastAsia"/>
        </w:rPr>
        <w:t>-</w:t>
      </w:r>
      <w:r>
        <w:rPr>
          <w:rFonts w:ascii="Times New Roman" w:hAnsi="Times New Roman"/>
        </w:rPr>
        <w:t>crystal diamond</w:t>
      </w:r>
      <w:r>
        <w:rPr>
          <w:rFonts w:ascii="Times New Roman" w:hAnsi="Times New Roman" w:hint="eastAsia"/>
        </w:rPr>
        <w:t>, inset is the statistical histogram of the Raman shift; h) The temperature-dependent Raman spectra of the NV</w:t>
      </w:r>
      <w:r>
        <w:rPr>
          <w:rFonts w:ascii="Times New Roman" w:hAnsi="Times New Roman" w:hint="eastAsia"/>
          <w:vertAlign w:val="superscript"/>
        </w:rPr>
        <w:t>0</w:t>
      </w:r>
      <w:r>
        <w:rPr>
          <w:rFonts w:ascii="Times New Roman" w:hAnsi="Times New Roman" w:hint="eastAsia"/>
        </w:rPr>
        <w:t xml:space="preserve"> related phonon; i) The intensity of the NV</w:t>
      </w:r>
      <w:r>
        <w:rPr>
          <w:rFonts w:ascii="Times New Roman" w:hAnsi="Times New Roman" w:hint="eastAsia"/>
          <w:vertAlign w:val="superscript"/>
        </w:rPr>
        <w:t>0</w:t>
      </w:r>
      <w:r>
        <w:rPr>
          <w:rFonts w:ascii="Times New Roman" w:hAnsi="Times New Roman" w:hint="eastAsia"/>
        </w:rPr>
        <w:t xml:space="preserve"> Raman peak as a function of temperature. </w:t>
      </w:r>
    </w:p>
    <w:p w14:paraId="01914767" w14:textId="77777777" w:rsidR="00E565B4" w:rsidRDefault="00E565B4">
      <w:pPr>
        <w:widowControl w:val="0"/>
        <w:spacing w:line="360" w:lineRule="auto"/>
        <w:jc w:val="both"/>
        <w:rPr>
          <w:rFonts w:ascii="Times New Roman" w:hAnsi="Times New Roman"/>
        </w:rPr>
      </w:pPr>
    </w:p>
    <w:p w14:paraId="3D6CFC35" w14:textId="77777777" w:rsidR="00E565B4" w:rsidRDefault="00000000">
      <w:pPr>
        <w:widowControl w:val="0"/>
        <w:spacing w:line="360" w:lineRule="auto"/>
        <w:ind w:firstLineChars="100" w:firstLine="240"/>
        <w:jc w:val="both"/>
        <w:rPr>
          <w:rFonts w:ascii="Times New Roman" w:hAnsi="Times New Roman"/>
        </w:rPr>
      </w:pPr>
      <w:r>
        <w:rPr>
          <w:rFonts w:ascii="Times New Roman" w:hAnsi="Times New Roman" w:hint="eastAsia"/>
        </w:rPr>
        <w:t>The crystalline property of the poly-crystal diamond is studied by XRD and shown in Figure 2a. Three strong peaks located at 43.9</w:t>
      </w:r>
      <w:r>
        <w:rPr>
          <w:rFonts w:ascii="Times New Roman" w:hAnsi="Times New Roman" w:hint="eastAsia"/>
          <w:vertAlign w:val="superscript"/>
        </w:rPr>
        <w:t>o</w:t>
      </w:r>
      <w:r>
        <w:rPr>
          <w:rFonts w:ascii="Times New Roman" w:hAnsi="Times New Roman" w:hint="eastAsia"/>
        </w:rPr>
        <w:t>, 75.3</w:t>
      </w:r>
      <w:r>
        <w:rPr>
          <w:rFonts w:ascii="Times New Roman" w:hAnsi="Times New Roman" w:hint="eastAsia"/>
          <w:vertAlign w:val="superscript"/>
        </w:rPr>
        <w:t>o</w:t>
      </w:r>
      <w:r>
        <w:rPr>
          <w:rFonts w:ascii="Times New Roman" w:hAnsi="Times New Roman" w:hint="eastAsia"/>
        </w:rPr>
        <w:t>, and 91.55</w:t>
      </w:r>
      <w:r>
        <w:rPr>
          <w:rFonts w:ascii="Times New Roman" w:hAnsi="Times New Roman" w:hint="eastAsia"/>
          <w:vertAlign w:val="superscript"/>
        </w:rPr>
        <w:t>o</w:t>
      </w:r>
      <w:r>
        <w:rPr>
          <w:rFonts w:ascii="Times New Roman" w:hAnsi="Times New Roman" w:hint="eastAsia"/>
        </w:rPr>
        <w:t>, and one weak peak centered at 119.7</w:t>
      </w:r>
      <w:r>
        <w:rPr>
          <w:rFonts w:ascii="Times New Roman" w:hAnsi="Times New Roman" w:hint="eastAsia"/>
          <w:vertAlign w:val="superscript"/>
        </w:rPr>
        <w:t>o</w:t>
      </w:r>
      <w:r>
        <w:rPr>
          <w:rFonts w:ascii="Times New Roman" w:hAnsi="Times New Roman" w:hint="eastAsia"/>
        </w:rPr>
        <w:t xml:space="preserve"> (inset) are detected. These peaks can be assigned to the diffraction signals from (111), (220), (311), and (400) facets (PDF #06-0675). The (111), (220), and (311) peaks can be further fitted with two Guassian peaks (Figure S8a) because of the wavelength difference between K</w:t>
      </w:r>
      <w:r>
        <w:rPr>
          <w:rFonts w:ascii="Times New Roman" w:hAnsi="Times New Roman"/>
          <w:vertAlign w:val="subscript"/>
        </w:rPr>
        <w:t>α</w:t>
      </w:r>
      <w:r>
        <w:rPr>
          <w:rFonts w:ascii="Times New Roman" w:hAnsi="Times New Roman" w:hint="eastAsia"/>
          <w:vertAlign w:val="subscript"/>
        </w:rPr>
        <w:t>1</w:t>
      </w:r>
      <w:r>
        <w:rPr>
          <w:rFonts w:ascii="Times New Roman" w:hAnsi="Times New Roman" w:hint="eastAsia"/>
        </w:rPr>
        <w:t xml:space="preserve"> and K</w:t>
      </w:r>
      <w:r>
        <w:rPr>
          <w:rFonts w:ascii="Times New Roman" w:hAnsi="Times New Roman"/>
          <w:vertAlign w:val="subscript"/>
        </w:rPr>
        <w:t>α</w:t>
      </w:r>
      <w:r>
        <w:rPr>
          <w:rFonts w:ascii="Times New Roman" w:hAnsi="Times New Roman" w:hint="eastAsia"/>
          <w:vertAlign w:val="subscript"/>
        </w:rPr>
        <w:t>2</w:t>
      </w:r>
      <w:r>
        <w:rPr>
          <w:rFonts w:ascii="Times New Roman" w:hAnsi="Times New Roman" w:hint="eastAsia"/>
        </w:rPr>
        <w:t xml:space="preserve"> lines. Therefore, the full width at half maximums (FWHMs) of the K</w:t>
      </w:r>
      <w:r>
        <w:rPr>
          <w:rFonts w:ascii="Times New Roman" w:hAnsi="Times New Roman"/>
          <w:vertAlign w:val="subscript"/>
        </w:rPr>
        <w:t>α</w:t>
      </w:r>
      <w:r>
        <w:rPr>
          <w:rFonts w:ascii="Times New Roman" w:hAnsi="Times New Roman" w:hint="eastAsia"/>
          <w:vertAlign w:val="subscript"/>
        </w:rPr>
        <w:t xml:space="preserve">1 </w:t>
      </w:r>
      <w:r>
        <w:rPr>
          <w:rFonts w:ascii="Times New Roman" w:hAnsi="Times New Roman" w:hint="eastAsia"/>
        </w:rPr>
        <w:t>peaks are determined as 0.06</w:t>
      </w:r>
      <w:r>
        <w:rPr>
          <w:rFonts w:ascii="Times New Roman" w:hAnsi="Times New Roman" w:hint="eastAsia"/>
          <w:vertAlign w:val="superscript"/>
        </w:rPr>
        <w:t>o</w:t>
      </w:r>
      <w:r>
        <w:rPr>
          <w:rFonts w:ascii="Times New Roman" w:hAnsi="Times New Roman" w:hint="eastAsia"/>
        </w:rPr>
        <w:t xml:space="preserve"> (111), 0.09</w:t>
      </w:r>
      <w:r>
        <w:rPr>
          <w:rFonts w:ascii="Times New Roman" w:hAnsi="Times New Roman" w:hint="eastAsia"/>
          <w:vertAlign w:val="superscript"/>
        </w:rPr>
        <w:t>o</w:t>
      </w:r>
      <w:r>
        <w:rPr>
          <w:rFonts w:ascii="Times New Roman" w:hAnsi="Times New Roman" w:hint="eastAsia"/>
        </w:rPr>
        <w:t xml:space="preserve"> (220), and 0.15</w:t>
      </w:r>
      <w:r>
        <w:rPr>
          <w:rFonts w:ascii="Times New Roman" w:hAnsi="Times New Roman" w:hint="eastAsia"/>
          <w:vertAlign w:val="superscript"/>
        </w:rPr>
        <w:t>o</w:t>
      </w:r>
      <w:r>
        <w:rPr>
          <w:rFonts w:ascii="Times New Roman" w:hAnsi="Times New Roman" w:hint="eastAsia"/>
        </w:rPr>
        <w:t xml:space="preserve"> (311), indicating the different crystal sizes corresponding to the exposed facets. </w:t>
      </w:r>
      <w:r>
        <w:rPr>
          <w:rFonts w:ascii="Times New Roman" w:hAnsi="Times New Roman" w:hint="eastAsia"/>
        </w:rPr>
        <w:lastRenderedPageBreak/>
        <w:t>Apparently, the intensity of the (111) peak (Figure S8b) is much stronger than that of other peaks, which is owing to the preferential alignment of (111) plane induced by the lowest surface energy. Correspondingly, the lattice-</w:t>
      </w:r>
      <w:r>
        <w:rPr>
          <w:rFonts w:ascii="Times New Roman" w:hAnsi="Times New Roman" w:hint="eastAsia"/>
          <w:i/>
          <w:iCs/>
        </w:rPr>
        <w:t>a</w:t>
      </w:r>
      <w:r>
        <w:rPr>
          <w:rFonts w:ascii="Times New Roman" w:hAnsi="Times New Roman" w:hint="eastAsia"/>
        </w:rPr>
        <w:t xml:space="preserve"> constant can be calculated by the Bragg's Law (2</w:t>
      </w:r>
      <w:r>
        <w:rPr>
          <w:rFonts w:ascii="Times New Roman" w:hAnsi="Times New Roman" w:hint="eastAsia"/>
          <w:i/>
          <w:iCs/>
        </w:rPr>
        <w:t>d</w:t>
      </w:r>
      <w:r>
        <w:rPr>
          <w:rFonts w:ascii="Times New Roman" w:hAnsi="Times New Roman" w:hint="eastAsia"/>
        </w:rPr>
        <w:t>sin</w:t>
      </w:r>
      <w:r>
        <w:rPr>
          <w:rFonts w:ascii="Times New Roman" w:hAnsi="Times New Roman"/>
          <w:i/>
          <w:iCs/>
        </w:rPr>
        <w:t>θ</w:t>
      </w:r>
      <w:r>
        <w:rPr>
          <w:rFonts w:ascii="Times New Roman" w:hAnsi="Times New Roman" w:hint="eastAsia"/>
          <w:i/>
          <w:iCs/>
        </w:rPr>
        <w:t xml:space="preserve"> </w:t>
      </w:r>
      <w:r>
        <w:rPr>
          <w:rFonts w:ascii="Times New Roman" w:hAnsi="Times New Roman" w:hint="eastAsia"/>
        </w:rPr>
        <w:t>= n</w:t>
      </w:r>
      <w:r>
        <w:rPr>
          <w:rFonts w:ascii="Times New Roman" w:hAnsi="Times New Roman"/>
          <w:i/>
          <w:iCs/>
        </w:rPr>
        <w:t>λ</w:t>
      </w:r>
      <w:r>
        <w:rPr>
          <w:rFonts w:ascii="Times New Roman" w:hAnsi="Times New Roman" w:hint="eastAsia"/>
        </w:rPr>
        <w:t>) and confirmed as 0.3568 nm, which closes to the ideal value of the single crystal diamond</w:t>
      </w:r>
      <w:r>
        <w:rPr>
          <w:rFonts w:ascii="Times New Roman" w:hAnsi="Times New Roman" w:hint="eastAsia"/>
          <w:vertAlign w:val="superscript"/>
        </w:rPr>
        <w:t>[37,38]</w:t>
      </w:r>
      <w:r>
        <w:rPr>
          <w:rFonts w:ascii="Times New Roman" w:hAnsi="Times New Roman" w:hint="eastAsia"/>
        </w:rPr>
        <w:t>. In addition, a weak XRD signal located at ~32.7</w:t>
      </w:r>
      <w:r>
        <w:rPr>
          <w:rFonts w:ascii="Times New Roman" w:hAnsi="Times New Roman" w:hint="eastAsia"/>
          <w:vertAlign w:val="superscript"/>
        </w:rPr>
        <w:t>o</w:t>
      </w:r>
      <w:r>
        <w:rPr>
          <w:rFonts w:ascii="Times New Roman" w:hAnsi="Times New Roman" w:hint="eastAsia"/>
        </w:rPr>
        <w:t xml:space="preserve"> (Figure S8c) originated from the non-diamond graphite phase</w:t>
      </w:r>
      <w:r>
        <w:rPr>
          <w:rFonts w:ascii="Times New Roman" w:hAnsi="Times New Roman" w:hint="eastAsia"/>
          <w:vertAlign w:val="superscript"/>
        </w:rPr>
        <w:t xml:space="preserve">[39] </w:t>
      </w:r>
      <w:r>
        <w:rPr>
          <w:rFonts w:ascii="Times New Roman" w:hAnsi="Times New Roman" w:hint="eastAsia"/>
        </w:rPr>
        <w:t xml:space="preserve">can also be probed. The thermogravimetric analysis (TGA) at Argon atmosphere is used to study the stability of the poly-crystal diamond and the result is provided in Figure 2b, the heating rate is set as 10 </w:t>
      </w:r>
      <w:r>
        <w:rPr>
          <w:rFonts w:ascii="Times New Roman" w:hAnsi="Times New Roman" w:hint="eastAsia"/>
          <w:vertAlign w:val="superscript"/>
        </w:rPr>
        <w:t>o</w:t>
      </w:r>
      <w:r>
        <w:rPr>
          <w:rFonts w:ascii="Times New Roman" w:hAnsi="Times New Roman" w:hint="eastAsia"/>
        </w:rPr>
        <w:t xml:space="preserve">C/min (Figure S8d). A small amount (0.34%) of mass loss is probed when the sample is heated to 1100 </w:t>
      </w:r>
      <w:r>
        <w:rPr>
          <w:rFonts w:ascii="Times New Roman" w:hAnsi="Times New Roman" w:hint="eastAsia"/>
          <w:vertAlign w:val="superscript"/>
        </w:rPr>
        <w:t>o</w:t>
      </w:r>
      <w:r>
        <w:rPr>
          <w:rFonts w:ascii="Times New Roman" w:hAnsi="Times New Roman" w:hint="eastAsia"/>
        </w:rPr>
        <w:t>C. Owing to the poly-crystal nature of the sample, abundant surfaces and interfaces exist, thus adsorbed Oxygen is naturally expected as the sample exposes to air environment. As the temperature increases, degassing constantly occurs at the inert atmosphere and leads to the mass loss. This finding can be indirectly demonstrated by the XPS study on O-</w:t>
      </w:r>
      <w:r>
        <w:rPr>
          <w:rFonts w:ascii="Times New Roman" w:hAnsi="Times New Roman" w:hint="eastAsia"/>
          <w:i/>
          <w:iCs/>
        </w:rPr>
        <w:t>1s</w:t>
      </w:r>
      <w:r>
        <w:rPr>
          <w:rFonts w:ascii="Times New Roman" w:hAnsi="Times New Roman" w:hint="eastAsia"/>
        </w:rPr>
        <w:t xml:space="preserve"> signals with different etched times. The specific heat capacity of the poly-crystal diamond is exhibited in Figure 2c, which monotonically increases with the increase of temperature. The specific heat capacity at room temperature is tested as 0.64 J/g</w:t>
      </w:r>
      <w:r>
        <w:rPr>
          <w:rFonts w:ascii="Times New Roman" w:hAnsi="Times New Roman"/>
        </w:rPr>
        <w:t>·</w:t>
      </w:r>
      <w:r>
        <w:rPr>
          <w:rFonts w:ascii="Times New Roman" w:hAnsi="Times New Roman" w:hint="eastAsia"/>
          <w:vertAlign w:val="superscript"/>
        </w:rPr>
        <w:t>o</w:t>
      </w:r>
      <w:r>
        <w:rPr>
          <w:rFonts w:ascii="Times New Roman" w:hAnsi="Times New Roman" w:hint="eastAsia"/>
        </w:rPr>
        <w:t>C, and that enhances to 1.64 J/g</w:t>
      </w:r>
      <w:r>
        <w:rPr>
          <w:rFonts w:ascii="Times New Roman" w:hAnsi="Times New Roman"/>
        </w:rPr>
        <w:t>·</w:t>
      </w:r>
      <w:r>
        <w:rPr>
          <w:rFonts w:ascii="Times New Roman" w:hAnsi="Times New Roman" w:hint="eastAsia"/>
          <w:vertAlign w:val="superscript"/>
        </w:rPr>
        <w:t>o</w:t>
      </w:r>
      <w:r>
        <w:rPr>
          <w:rFonts w:ascii="Times New Roman" w:hAnsi="Times New Roman" w:hint="eastAsia"/>
        </w:rPr>
        <w:t xml:space="preserve">C at 500 </w:t>
      </w:r>
      <w:r>
        <w:rPr>
          <w:rFonts w:ascii="Times New Roman" w:hAnsi="Times New Roman" w:hint="eastAsia"/>
          <w:vertAlign w:val="superscript"/>
        </w:rPr>
        <w:t>o</w:t>
      </w:r>
      <w:r>
        <w:rPr>
          <w:rFonts w:ascii="Times New Roman" w:hAnsi="Times New Roman" w:hint="eastAsia"/>
        </w:rPr>
        <w:t>C, which agrees well with previous report on diamond powders with similar crystal size</w:t>
      </w:r>
      <w:r>
        <w:rPr>
          <w:rFonts w:ascii="Times New Roman" w:hAnsi="Times New Roman" w:hint="eastAsia"/>
          <w:vertAlign w:val="superscript"/>
        </w:rPr>
        <w:t>[40]</w:t>
      </w:r>
      <w:r>
        <w:rPr>
          <w:rFonts w:ascii="Times New Roman" w:hAnsi="Times New Roman" w:hint="eastAsia"/>
        </w:rPr>
        <w:t>.</w:t>
      </w:r>
      <w:r>
        <w:rPr>
          <w:rFonts w:ascii="Times New Roman" w:hAnsi="Times New Roman" w:hint="eastAsia"/>
          <w:b/>
          <w:bCs/>
        </w:rPr>
        <w:t xml:space="preserve"> </w:t>
      </w:r>
      <w:r>
        <w:rPr>
          <w:rFonts w:ascii="Times New Roman" w:hAnsi="Times New Roman" w:hint="eastAsia"/>
        </w:rPr>
        <w:t>Figure 2d presents the absorption spectrum of the poly-crystal diamond. A broad absorbed band ranges from the infrared (1700 nm) to the deep UV (200 nm) regions, which is quite different from the sharp deep UV (~220 nm) absorption edge observed in single crystal diamond</w:t>
      </w:r>
      <w:r>
        <w:rPr>
          <w:rFonts w:ascii="Times New Roman" w:hAnsi="Times New Roman" w:hint="eastAsia"/>
          <w:vertAlign w:val="superscript"/>
        </w:rPr>
        <w:t>[41,42]</w:t>
      </w:r>
      <w:r>
        <w:rPr>
          <w:rFonts w:ascii="Times New Roman" w:hAnsi="Times New Roman" w:hint="eastAsia"/>
        </w:rPr>
        <w:t>. The onset of absorption at 0.78 eV can be attributed to th</w:t>
      </w:r>
      <w:r>
        <w:rPr>
          <w:rFonts w:ascii="Times New Roman" w:hAnsi="Times New Roman"/>
        </w:rPr>
        <w:t>e π</w:t>
      </w:r>
      <w:r>
        <w:rPr>
          <w:rFonts w:ascii="Times New Roman" w:hAnsi="Times New Roman" w:hint="eastAsia"/>
        </w:rPr>
        <w:t xml:space="preserve"> </w:t>
      </w:r>
      <w:r>
        <w:rPr>
          <w:rFonts w:ascii="Times New Roman" w:hAnsi="Times New Roman"/>
        </w:rPr>
        <w:t>to π sta</w:t>
      </w:r>
      <w:r>
        <w:rPr>
          <w:rFonts w:ascii="Times New Roman" w:hAnsi="Times New Roman" w:hint="eastAsia"/>
        </w:rPr>
        <w:t>tes introduced into the bandgap by the high concentration of bonded carbon at the grain boundaries</w:t>
      </w:r>
      <w:r>
        <w:rPr>
          <w:rFonts w:ascii="Times New Roman" w:hAnsi="Times New Roman" w:hint="eastAsia"/>
          <w:vertAlign w:val="superscript"/>
        </w:rPr>
        <w:t>[43,44]</w:t>
      </w:r>
      <w:r>
        <w:rPr>
          <w:rFonts w:ascii="Times New Roman" w:hAnsi="Times New Roman" w:hint="eastAsia"/>
        </w:rPr>
        <w:t>, and the broad below-gap absorption indicates numerous defect levels. The temperature-dependent PL spectra of the poly-crystal diamond is presented in Figure 2e, from which 10 distinct PL peaks (denoted as A to J lines) measured at 50 K are clearly observed. According to previous reports observed by Subedi</w:t>
      </w:r>
      <w:r>
        <w:rPr>
          <w:rFonts w:ascii="Times New Roman" w:hAnsi="Times New Roman" w:hint="eastAsia"/>
          <w:vertAlign w:val="superscript"/>
        </w:rPr>
        <w:t xml:space="preserve">[45] </w:t>
      </w:r>
      <w:r>
        <w:rPr>
          <w:rFonts w:ascii="Times New Roman" w:hAnsi="Times New Roman" w:hint="eastAsia"/>
        </w:rPr>
        <w:t>and Wang</w:t>
      </w:r>
      <w:r>
        <w:rPr>
          <w:rFonts w:ascii="Times New Roman" w:hAnsi="Times New Roman" w:hint="eastAsia"/>
          <w:vertAlign w:val="superscript"/>
        </w:rPr>
        <w:t>[46]</w:t>
      </w:r>
      <w:r>
        <w:rPr>
          <w:rFonts w:ascii="Times New Roman" w:hAnsi="Times New Roman" w:hint="eastAsia"/>
        </w:rPr>
        <w:t xml:space="preserve">, A line (1.617 eV), B line (1.654 eV), and C line (1.681 eV) are normally attributed to the zero phonon line GR1 associated with neutral monovacancy of the carbon atom. D line (2.0 eV) and G line (2.154 eV) are associated to the color </w:t>
      </w:r>
      <w:r>
        <w:rPr>
          <w:rFonts w:ascii="Times New Roman" w:hAnsi="Times New Roman" w:hint="eastAsia"/>
        </w:rPr>
        <w:lastRenderedPageBreak/>
        <w:t>center from the nitrogen-vacancy complexes (N-V)</w:t>
      </w:r>
      <w:r>
        <w:rPr>
          <w:rFonts w:ascii="Times New Roman" w:hAnsi="Times New Roman" w:hint="eastAsia"/>
          <w:vertAlign w:val="superscript"/>
        </w:rPr>
        <w:t>0</w:t>
      </w:r>
      <w:r>
        <w:rPr>
          <w:rFonts w:ascii="Times New Roman" w:hAnsi="Times New Roman" w:hint="eastAsia"/>
        </w:rPr>
        <w:t xml:space="preserve"> and (N-V)</w:t>
      </w:r>
      <w:r>
        <w:rPr>
          <w:rFonts w:ascii="Times New Roman" w:hAnsi="Times New Roman" w:hint="eastAsia"/>
          <w:vertAlign w:val="superscript"/>
        </w:rPr>
        <w:t>-</w:t>
      </w:r>
      <w:r>
        <w:rPr>
          <w:rFonts w:ascii="Times New Roman" w:hAnsi="Times New Roman" w:hint="eastAsia"/>
        </w:rPr>
        <w:t>, respectively</w:t>
      </w:r>
      <w:r>
        <w:rPr>
          <w:rFonts w:ascii="Times New Roman" w:hAnsi="Times New Roman" w:hint="eastAsia"/>
          <w:vertAlign w:val="superscript"/>
        </w:rPr>
        <w:t>[47]</w:t>
      </w:r>
      <w:r>
        <w:rPr>
          <w:rFonts w:ascii="Times New Roman" w:hAnsi="Times New Roman" w:hint="eastAsia"/>
        </w:rPr>
        <w:t>. H line (2.38 eV), I line (2.59 eV), and J line (2.83 eV) are originated from the surface trapped levels associated to the COOH, C-O-C, and C=O functional groups</w:t>
      </w:r>
      <w:r>
        <w:rPr>
          <w:rFonts w:ascii="Times New Roman" w:hAnsi="Times New Roman" w:hint="eastAsia"/>
          <w:vertAlign w:val="superscript"/>
        </w:rPr>
        <w:t>[48]</w:t>
      </w:r>
      <w:r>
        <w:rPr>
          <w:rFonts w:ascii="Times New Roman" w:hAnsi="Times New Roman" w:hint="eastAsia"/>
        </w:rPr>
        <w:t>. While the E line (2.066 eV) and F line (2.11 eV) are not clearly understood yet</w:t>
      </w:r>
      <w:r>
        <w:rPr>
          <w:rFonts w:ascii="Times New Roman" w:hAnsi="Times New Roman" w:hint="eastAsia"/>
          <w:vertAlign w:val="superscript"/>
        </w:rPr>
        <w:t>[47]</w:t>
      </w:r>
      <w:r>
        <w:rPr>
          <w:rFonts w:ascii="Times New Roman" w:hAnsi="Times New Roman" w:hint="eastAsia"/>
        </w:rPr>
        <w:t>. The existence of these levels also agree well with the VBM scanning results presented in Figure S3d, from which the Fermi level relative to the VBM is closed to the deepest level (J line). Therefore, the energy band model of the poly-crystal diamond can be empirically summarized in Figure 2f. Consequently, numerous deep defect levels located in the forbidden gap, which will play as trapped centers. In addition, owing to the strengthening of thermal disturbance, most of peaks gradually disappear as the temperature increases to room temperature. Only two strong bands (C and G lines) can still be observed even at 295 K, and the temperature-dependent photon energies and intensities of two bands are summarized in Figure S9. The Raman spectrum of the poly-crystal sample is provided in Figure 2g, the strong and sharp peak at 1331 cm</w:t>
      </w:r>
      <w:r>
        <w:rPr>
          <w:rFonts w:ascii="Times New Roman" w:hAnsi="Times New Roman" w:hint="eastAsia"/>
          <w:vertAlign w:val="superscript"/>
        </w:rPr>
        <w:t xml:space="preserve">-1 </w:t>
      </w:r>
      <w:r>
        <w:rPr>
          <w:rFonts w:ascii="Times New Roman" w:hAnsi="Times New Roman" w:hint="eastAsia"/>
        </w:rPr>
        <w:t xml:space="preserve">is originated from the zone-center optical phonon with </w:t>
      </w:r>
      <w:r>
        <w:rPr>
          <w:rFonts w:ascii="Times New Roman" w:hAnsi="Times New Roman"/>
        </w:rPr>
        <w:t>Γ</w:t>
      </w:r>
      <w:r>
        <w:rPr>
          <w:rFonts w:ascii="Times New Roman" w:hAnsi="Times New Roman" w:hint="eastAsia"/>
          <w:vertAlign w:val="superscript"/>
        </w:rPr>
        <w:t>(25)</w:t>
      </w:r>
      <w:r>
        <w:rPr>
          <w:rFonts w:ascii="Times New Roman" w:hAnsi="Times New Roman" w:hint="eastAsia"/>
        </w:rPr>
        <w:t>(F</w:t>
      </w:r>
      <w:r>
        <w:rPr>
          <w:rFonts w:ascii="Times New Roman" w:hAnsi="Times New Roman" w:hint="eastAsia"/>
          <w:vertAlign w:val="subscript"/>
        </w:rPr>
        <w:t>2g</w:t>
      </w:r>
      <w:r>
        <w:rPr>
          <w:rFonts w:ascii="Times New Roman" w:hAnsi="Times New Roman" w:hint="eastAsia"/>
        </w:rPr>
        <w:t>) symmetry</w:t>
      </w:r>
      <w:r>
        <w:rPr>
          <w:rFonts w:ascii="Times New Roman" w:hAnsi="Times New Roman" w:hint="eastAsia"/>
          <w:vertAlign w:val="superscript"/>
        </w:rPr>
        <w:t>[49]</w:t>
      </w:r>
      <w:r>
        <w:rPr>
          <w:rFonts w:ascii="Times New Roman" w:hAnsi="Times New Roman" w:hint="eastAsia"/>
        </w:rPr>
        <w:t xml:space="preserve">. This signal is relevant to the </w:t>
      </w:r>
      <w:r>
        <w:rPr>
          <w:rFonts w:ascii="Times New Roman" w:hAnsi="Times New Roman" w:hint="eastAsia"/>
          <w:i/>
          <w:iCs/>
        </w:rPr>
        <w:t>C</w:t>
      </w:r>
      <w:r>
        <w:rPr>
          <w:rFonts w:ascii="Times New Roman" w:hAnsi="Times New Roman" w:hint="eastAsia"/>
        </w:rPr>
        <w:t>-sp</w:t>
      </w:r>
      <w:r>
        <w:rPr>
          <w:rFonts w:ascii="Times New Roman" w:hAnsi="Times New Roman" w:hint="eastAsia"/>
          <w:vertAlign w:val="superscript"/>
        </w:rPr>
        <w:t>3</w:t>
      </w:r>
      <w:r>
        <w:rPr>
          <w:rFonts w:ascii="Times New Roman" w:hAnsi="Times New Roman" w:hint="eastAsia"/>
        </w:rPr>
        <w:t xml:space="preserve"> characteristic in diamond and scattered at the Brillouin zone center. Furthermore, 40 different regions on the sample are studied and the statistical result is presented in the inset of Figure 2g, the Raman shift ranges from 1328 to 1332.5 cm</w:t>
      </w:r>
      <w:r>
        <w:rPr>
          <w:rFonts w:ascii="Times New Roman" w:hAnsi="Times New Roman" w:hint="eastAsia"/>
          <w:vertAlign w:val="superscript"/>
        </w:rPr>
        <w:t>-1</w:t>
      </w:r>
      <w:r>
        <w:rPr>
          <w:rFonts w:ascii="Times New Roman" w:hAnsi="Times New Roman" w:hint="eastAsia"/>
        </w:rPr>
        <w:t>. In addition, a broad shoulder peak centered at 1425 cm</w:t>
      </w:r>
      <w:r>
        <w:rPr>
          <w:rFonts w:ascii="Times New Roman" w:hAnsi="Times New Roman" w:hint="eastAsia"/>
          <w:vertAlign w:val="superscript"/>
        </w:rPr>
        <w:t>-1</w:t>
      </w:r>
      <w:r>
        <w:rPr>
          <w:rFonts w:ascii="Times New Roman" w:hAnsi="Times New Roman" w:hint="eastAsia"/>
        </w:rPr>
        <w:t xml:space="preserve"> is also detected, which can be attributed to the phonon scattering associated with nitrogen-vacancy complex in neutral charge state (NV</w:t>
      </w:r>
      <w:r>
        <w:rPr>
          <w:rFonts w:ascii="Times New Roman" w:hAnsi="Times New Roman" w:hint="eastAsia"/>
          <w:vertAlign w:val="superscript"/>
        </w:rPr>
        <w:t>0</w:t>
      </w:r>
      <w:r>
        <w:rPr>
          <w:rFonts w:ascii="Times New Roman" w:hAnsi="Times New Roman" w:hint="eastAsia"/>
        </w:rPr>
        <w:t>)</w:t>
      </w:r>
      <w:r>
        <w:rPr>
          <w:rFonts w:ascii="Times New Roman" w:hAnsi="Times New Roman" w:hint="eastAsia"/>
          <w:vertAlign w:val="superscript"/>
        </w:rPr>
        <w:t>[50,51]</w:t>
      </w:r>
      <w:r>
        <w:rPr>
          <w:rFonts w:ascii="Times New Roman" w:hAnsi="Times New Roman" w:hint="eastAsia"/>
        </w:rPr>
        <w:t>. The FWHM of the Raman peak normally indicates the crystal quality. As depicted in Figure S8f, the FWHMs of all peaks range from 5.5 to 9 cm</w:t>
      </w:r>
      <w:r>
        <w:rPr>
          <w:rFonts w:ascii="Times New Roman" w:hAnsi="Times New Roman" w:hint="eastAsia"/>
          <w:vertAlign w:val="superscript"/>
        </w:rPr>
        <w:t>-1</w:t>
      </w:r>
      <w:r>
        <w:rPr>
          <w:rFonts w:ascii="Times New Roman" w:hAnsi="Times New Roman" w:hint="eastAsia"/>
        </w:rPr>
        <w:t>. This is quite different from the study on the single crystal diamond (only ~1.6 cm</w:t>
      </w:r>
      <w:r>
        <w:rPr>
          <w:rFonts w:ascii="Times New Roman" w:hAnsi="Times New Roman" w:hint="eastAsia"/>
          <w:vertAlign w:val="superscript"/>
        </w:rPr>
        <w:t>-1</w:t>
      </w:r>
      <w:r>
        <w:rPr>
          <w:rFonts w:ascii="Times New Roman" w:hAnsi="Times New Roman" w:hint="eastAsia"/>
        </w:rPr>
        <w:t>)</w:t>
      </w:r>
      <w:r>
        <w:rPr>
          <w:rFonts w:ascii="Times New Roman" w:hAnsi="Times New Roman" w:hint="eastAsia"/>
          <w:vertAlign w:val="superscript"/>
        </w:rPr>
        <w:t>[52]</w:t>
      </w:r>
      <w:r>
        <w:rPr>
          <w:rFonts w:ascii="Times New Roman" w:hAnsi="Times New Roman" w:hint="eastAsia"/>
        </w:rPr>
        <w:t>, the fluctuation in Raman shift and the large FWHM further confirm the low quality of the diamond which directly grows on the large lattice mismatch Si substrate. The temperature-dependent stability of NV</w:t>
      </w:r>
      <w:r>
        <w:rPr>
          <w:rFonts w:ascii="Times New Roman" w:hAnsi="Times New Roman" w:hint="eastAsia"/>
          <w:vertAlign w:val="superscript"/>
        </w:rPr>
        <w:t>0</w:t>
      </w:r>
      <w:r>
        <w:rPr>
          <w:rFonts w:ascii="Times New Roman" w:hAnsi="Times New Roman" w:hint="eastAsia"/>
        </w:rPr>
        <w:t xml:space="preserve"> is further analyzed and presented in Figure 2h. The Raman signal of ~1425 cm</w:t>
      </w:r>
      <w:r>
        <w:rPr>
          <w:rFonts w:ascii="Times New Roman" w:hAnsi="Times New Roman" w:hint="eastAsia"/>
          <w:vertAlign w:val="superscript"/>
        </w:rPr>
        <w:t xml:space="preserve">-1 </w:t>
      </w:r>
      <w:r>
        <w:rPr>
          <w:rFonts w:ascii="Times New Roman" w:hAnsi="Times New Roman" w:hint="eastAsia"/>
        </w:rPr>
        <w:t>attenuates distinctly with the increase of temperature and nearly disappear at 210</w:t>
      </w:r>
      <w:r>
        <w:rPr>
          <w:rFonts w:ascii="Times New Roman" w:hAnsi="Times New Roman" w:hint="eastAsia"/>
          <w:vertAlign w:val="superscript"/>
        </w:rPr>
        <w:t xml:space="preserve"> o</w:t>
      </w:r>
      <w:r>
        <w:rPr>
          <w:rFonts w:ascii="Times New Roman" w:hAnsi="Times New Roman" w:hint="eastAsia"/>
        </w:rPr>
        <w:t>C. As summarized in Figure 2i, the temperature-intensity curve can be well fitted with a single exponential decay function. This indicates the NV</w:t>
      </w:r>
      <w:r>
        <w:rPr>
          <w:rFonts w:ascii="Times New Roman" w:hAnsi="Times New Roman" w:hint="eastAsia"/>
          <w:vertAlign w:val="superscript"/>
        </w:rPr>
        <w:t>0</w:t>
      </w:r>
      <w:r>
        <w:rPr>
          <w:rFonts w:ascii="Times New Roman" w:hAnsi="Times New Roman" w:hint="eastAsia"/>
        </w:rPr>
        <w:t xml:space="preserve"> maybe repaired during the high temperature, which will be </w:t>
      </w:r>
      <w:r>
        <w:rPr>
          <w:rFonts w:ascii="Times New Roman" w:hAnsi="Times New Roman" w:hint="eastAsia"/>
        </w:rPr>
        <w:lastRenderedPageBreak/>
        <w:t>systematically studied in future.</w:t>
      </w:r>
    </w:p>
    <w:p w14:paraId="1914432A" w14:textId="77777777" w:rsidR="00E565B4" w:rsidRDefault="00000000">
      <w:pPr>
        <w:jc w:val="center"/>
      </w:pPr>
      <w:r>
        <w:rPr>
          <w:rFonts w:hint="eastAsia"/>
          <w:noProof/>
        </w:rPr>
        <w:drawing>
          <wp:inline distT="0" distB="0" distL="114300" distR="114300" wp14:anchorId="4FCBACDB" wp14:editId="53B33B7A">
            <wp:extent cx="5039995" cy="5995035"/>
            <wp:effectExtent l="0" t="0" r="4445" b="9525"/>
            <wp:docPr id="4" name="图片 4" descr="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4-6"/>
                    <pic:cNvPicPr>
                      <a:picLocks noChangeAspect="1"/>
                    </pic:cNvPicPr>
                  </pic:nvPicPr>
                  <pic:blipFill>
                    <a:blip r:embed="rId8"/>
                    <a:stretch>
                      <a:fillRect/>
                    </a:stretch>
                  </pic:blipFill>
                  <pic:spPr>
                    <a:xfrm>
                      <a:off x="0" y="0"/>
                      <a:ext cx="5039995" cy="5995035"/>
                    </a:xfrm>
                    <a:prstGeom prst="rect">
                      <a:avLst/>
                    </a:prstGeom>
                  </pic:spPr>
                </pic:pic>
              </a:graphicData>
            </a:graphic>
          </wp:inline>
        </w:drawing>
      </w:r>
    </w:p>
    <w:p w14:paraId="39617342" w14:textId="77777777" w:rsidR="00E565B4" w:rsidRDefault="00000000">
      <w:pPr>
        <w:spacing w:line="360" w:lineRule="auto"/>
        <w:jc w:val="both"/>
      </w:pPr>
      <w:r>
        <w:rPr>
          <w:rFonts w:ascii="Times New Roman" w:hAnsi="Times New Roman" w:hint="eastAsia"/>
          <w:b/>
          <w:bCs/>
        </w:rPr>
        <w:t xml:space="preserve">Figure 3. </w:t>
      </w:r>
      <w:r>
        <w:rPr>
          <w:rFonts w:ascii="Times New Roman" w:hAnsi="Times New Roman" w:hint="eastAsia"/>
        </w:rPr>
        <w:t>a) The</w:t>
      </w:r>
      <w:r>
        <w:rPr>
          <w:rFonts w:ascii="Times New Roman" w:hAnsi="Times New Roman" w:hint="eastAsia"/>
          <w:i/>
          <w:iCs/>
        </w:rPr>
        <w:t xml:space="preserve"> I-V</w:t>
      </w:r>
      <w:r>
        <w:rPr>
          <w:rFonts w:ascii="Times New Roman" w:hAnsi="Times New Roman" w:hint="eastAsia"/>
        </w:rPr>
        <w:t xml:space="preserve"> curve of the ITO-Diamond-ITO device under dark, inset is the schematic diagram of the device; b) The</w:t>
      </w:r>
      <w:r>
        <w:rPr>
          <w:rFonts w:ascii="Times New Roman" w:hAnsi="Times New Roman" w:hint="eastAsia"/>
          <w:i/>
          <w:iCs/>
        </w:rPr>
        <w:t xml:space="preserve"> I-V </w:t>
      </w:r>
      <w:r>
        <w:rPr>
          <w:rFonts w:ascii="Times New Roman" w:hAnsi="Times New Roman" w:hint="eastAsia"/>
        </w:rPr>
        <w:t xml:space="preserve">characteristics of the ITO-Diamond-ITO </w:t>
      </w:r>
    </w:p>
    <w:p w14:paraId="6A8F6C03"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device under dark and 405 nm light illumination; c) The </w:t>
      </w:r>
      <w:r>
        <w:rPr>
          <w:rFonts w:ascii="Times New Roman" w:hAnsi="Times New Roman" w:hint="eastAsia"/>
          <w:i/>
          <w:iCs/>
        </w:rPr>
        <w:t xml:space="preserve">I-t </w:t>
      </w:r>
      <w:r>
        <w:rPr>
          <w:rFonts w:ascii="Times New Roman" w:hAnsi="Times New Roman" w:hint="eastAsia"/>
        </w:rPr>
        <w:t>curves of the ITO-Diamond-ITO device illuminated with different lights (405 nm, 520 nm, 635 nm); d) The normalized</w:t>
      </w:r>
      <w:r>
        <w:rPr>
          <w:rFonts w:ascii="Times New Roman" w:hAnsi="Times New Roman" w:hint="eastAsia"/>
          <w:i/>
          <w:iCs/>
        </w:rPr>
        <w:t xml:space="preserve"> I-t</w:t>
      </w:r>
      <w:r>
        <w:rPr>
          <w:rFonts w:ascii="Times New Roman" w:hAnsi="Times New Roman" w:hint="eastAsia"/>
        </w:rPr>
        <w:t xml:space="preserve"> curve of the device illuminated by 405 nm light; e) The schematic illustration of the pulse-stimulated artificial synapse and f) corresponding schematic diagram of the information transfer between biological synapses.</w:t>
      </w:r>
    </w:p>
    <w:p w14:paraId="1B2FA268" w14:textId="77777777" w:rsidR="00E565B4" w:rsidRDefault="00E565B4">
      <w:pPr>
        <w:widowControl w:val="0"/>
        <w:spacing w:line="360" w:lineRule="auto"/>
        <w:jc w:val="both"/>
        <w:rPr>
          <w:rFonts w:ascii="Times New Roman" w:hAnsi="Times New Roman"/>
        </w:rPr>
      </w:pPr>
    </w:p>
    <w:p w14:paraId="0D76382A" w14:textId="77777777" w:rsidR="00E565B4" w:rsidRDefault="00000000">
      <w:pPr>
        <w:widowControl w:val="0"/>
        <w:spacing w:line="360" w:lineRule="auto"/>
        <w:jc w:val="both"/>
        <w:rPr>
          <w:rFonts w:ascii="Times New Roman" w:hAnsi="Times New Roman"/>
          <w:bCs/>
        </w:rPr>
      </w:pPr>
      <w:r>
        <w:rPr>
          <w:rFonts w:ascii="Times New Roman" w:hAnsi="Times New Roman" w:hint="eastAsia"/>
        </w:rPr>
        <w:lastRenderedPageBreak/>
        <w:t xml:space="preserve"> The</w:t>
      </w:r>
      <w:r>
        <w:rPr>
          <w:rFonts w:ascii="Times New Roman" w:hAnsi="Times New Roman" w:hint="eastAsia"/>
          <w:i/>
          <w:iCs/>
        </w:rPr>
        <w:t xml:space="preserve"> I-V </w:t>
      </w:r>
      <w:r>
        <w:rPr>
          <w:rFonts w:ascii="Times New Roman" w:hAnsi="Times New Roman" w:hint="eastAsia"/>
        </w:rPr>
        <w:t>curves of the ITO-Diamond-ITO device under dark and 405 nm illumination are shown in Figure 3a (inset is the device structure) and Figure S10. A linear relationship between the applied voltage and current is determined, indicating the Ohmic contact behavior between ITO and diamond. At 5 V, the device presents distinct response (Figure 3b) to the 405 nm laser light (light density: 196.2 mW/cm</w:t>
      </w:r>
      <w:r>
        <w:rPr>
          <w:rFonts w:ascii="Times New Roman" w:hAnsi="Times New Roman" w:hint="eastAsia"/>
          <w:vertAlign w:val="superscript"/>
        </w:rPr>
        <w:t>2</w:t>
      </w:r>
      <w:r>
        <w:rPr>
          <w:rFonts w:ascii="Times New Roman" w:hAnsi="Times New Roman" w:hint="eastAsia"/>
        </w:rPr>
        <w:t>), the ratio between the photocurrent and dark current is more than an order of magnitude. The resistance switch between HRS and LRS is controlled by the status of the illuminated laser. The wavelength-dependent</w:t>
      </w:r>
      <w:r>
        <w:rPr>
          <w:rFonts w:ascii="Times New Roman" w:hAnsi="Times New Roman" w:hint="eastAsia"/>
          <w:i/>
          <w:iCs/>
        </w:rPr>
        <w:t xml:space="preserve"> I-t</w:t>
      </w:r>
      <w:r>
        <w:rPr>
          <w:rFonts w:ascii="Times New Roman" w:hAnsi="Times New Roman" w:hint="eastAsia"/>
        </w:rPr>
        <w:t xml:space="preserve"> curves are also measured for studying the photoresponse to the lights with different photon energies. As indicated in Figure 3c, purple (405 nm), green (520 nm), and red (635 nm) lasers with the same light density are introduced. Apparently, the response to the purple laser is much stronger than that to the green and red lasers. The tendency agrees well with the absorption spectrum shown in Figure 2d, the absorption curve shows a maximum coefficient at ~400 nm. In addition, as the laser is off, PPC effect is clearly observed and the recovery persists for a long time. Figure 3(d) further presents the recovery behavior of the device upon 405 nm light illumination. The recovery time from the maximum current to the initial state is as long as 4426 s, meaning a robust nonvolatile performance. </w:t>
      </w:r>
      <w:r>
        <w:rPr>
          <w:rFonts w:ascii="Times New Roman" w:hAnsi="Times New Roman"/>
          <w:bCs/>
        </w:rPr>
        <w:t xml:space="preserve">The </w:t>
      </w:r>
      <w:r>
        <w:rPr>
          <w:rFonts w:ascii="Times New Roman" w:hAnsi="Times New Roman" w:hint="eastAsia"/>
          <w:bCs/>
        </w:rPr>
        <w:t>decay</w:t>
      </w:r>
      <w:r>
        <w:rPr>
          <w:rFonts w:ascii="Times New Roman" w:hAnsi="Times New Roman"/>
          <w:bCs/>
        </w:rPr>
        <w:t xml:space="preserve"> </w:t>
      </w:r>
      <w:r>
        <w:rPr>
          <w:rFonts w:ascii="Times New Roman" w:hAnsi="Times New Roman" w:hint="eastAsia"/>
          <w:bCs/>
        </w:rPr>
        <w:t>trace</w:t>
      </w:r>
      <w:r>
        <w:rPr>
          <w:rFonts w:ascii="Times New Roman" w:hAnsi="Times New Roman"/>
          <w:bCs/>
        </w:rPr>
        <w:t xml:space="preserve"> can be fitted by a double-exponential equation:</w:t>
      </w:r>
      <w:r>
        <w:rPr>
          <w:rFonts w:ascii="Times New Roman" w:hAnsi="Times New Roman"/>
          <w:bCs/>
          <w:vertAlign w:val="superscript"/>
        </w:rPr>
        <w:t>[</w:t>
      </w:r>
      <w:r>
        <w:rPr>
          <w:rFonts w:ascii="Times New Roman" w:hAnsi="Times New Roman" w:hint="eastAsia"/>
          <w:bCs/>
          <w:vertAlign w:val="superscript"/>
        </w:rPr>
        <w:t>53</w:t>
      </w:r>
      <w:r>
        <w:rPr>
          <w:rFonts w:ascii="Times New Roman" w:hAnsi="Times New Roman"/>
          <w:bCs/>
          <w:vertAlign w:val="superscript"/>
        </w:rPr>
        <w:t>]</w:t>
      </w:r>
    </w:p>
    <w:p w14:paraId="0B556892" w14:textId="77777777" w:rsidR="00E565B4" w:rsidRDefault="00000000">
      <w:pPr>
        <w:tabs>
          <w:tab w:val="center" w:pos="3780"/>
          <w:tab w:val="right" w:pos="7980"/>
        </w:tabs>
        <w:snapToGrid w:val="0"/>
        <w:spacing w:line="360" w:lineRule="auto"/>
        <w:ind w:firstLineChars="200" w:firstLine="480"/>
        <w:jc w:val="right"/>
        <w:rPr>
          <w:rFonts w:ascii="Times New Roman" w:hAnsi="Times New Roman"/>
          <w:bCs/>
          <w:position w:val="-30"/>
        </w:rPr>
      </w:pPr>
      <w:r>
        <w:rPr>
          <w:rFonts w:ascii="Times New Roman" w:hAnsi="Times New Roman"/>
          <w:bCs/>
          <w:position w:val="-30"/>
        </w:rPr>
        <w:tab/>
      </w:r>
      <w:r>
        <w:rPr>
          <w:rFonts w:ascii="Times New Roman" w:hAnsi="Times New Roman"/>
          <w:bCs/>
          <w:position w:val="-32"/>
        </w:rPr>
        <w:object w:dxaOrig="3721" w:dyaOrig="760" w14:anchorId="1DFDA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75pt;height:38.1pt" o:ole="">
            <v:imagedata r:id="rId9" o:title=""/>
          </v:shape>
          <o:OLEObject Type="Embed" ProgID="Equation.3" ShapeID="_x0000_i1025" DrawAspect="Content" ObjectID="_1810474482" r:id="rId10"/>
        </w:object>
      </w:r>
      <w:r>
        <w:rPr>
          <w:rFonts w:ascii="Times New Roman" w:hAnsi="Times New Roman"/>
          <w:bCs/>
          <w:position w:val="-30"/>
        </w:rPr>
        <w:tab/>
        <w:t>(</w:t>
      </w:r>
      <w:r>
        <w:rPr>
          <w:rFonts w:ascii="Times New Roman" w:hAnsi="Times New Roman" w:hint="eastAsia"/>
          <w:bCs/>
          <w:position w:val="-30"/>
        </w:rPr>
        <w:t>1</w:t>
      </w:r>
      <w:r>
        <w:rPr>
          <w:rFonts w:ascii="Times New Roman" w:hAnsi="Times New Roman"/>
          <w:bCs/>
          <w:position w:val="-30"/>
        </w:rPr>
        <w:t>)</w:t>
      </w:r>
    </w:p>
    <w:p w14:paraId="66995D30" w14:textId="77777777" w:rsidR="00E565B4" w:rsidRDefault="00000000">
      <w:pPr>
        <w:widowControl w:val="0"/>
        <w:snapToGrid w:val="0"/>
        <w:spacing w:line="360" w:lineRule="auto"/>
        <w:jc w:val="both"/>
        <w:rPr>
          <w:rFonts w:ascii="Times New Roman" w:hAnsi="Times New Roman"/>
          <w:bCs/>
          <w:position w:val="-30"/>
        </w:rPr>
      </w:pPr>
      <w:r>
        <w:rPr>
          <w:rFonts w:ascii="Times New Roman" w:hAnsi="Times New Roman"/>
          <w:bCs/>
          <w:position w:val="-30"/>
        </w:rPr>
        <w:t xml:space="preserve">where </w:t>
      </w:r>
      <w:r>
        <w:rPr>
          <w:rFonts w:ascii="Times New Roman" w:hAnsi="Times New Roman"/>
          <w:bCs/>
          <w:i/>
          <w:iCs/>
          <w:position w:val="-30"/>
        </w:rPr>
        <w:t>A</w:t>
      </w:r>
      <w:r>
        <w:rPr>
          <w:rFonts w:ascii="Times New Roman" w:hAnsi="Times New Roman"/>
          <w:bCs/>
          <w:position w:val="-30"/>
        </w:rPr>
        <w:t xml:space="preserve"> an d </w:t>
      </w:r>
      <w:r>
        <w:rPr>
          <w:rFonts w:ascii="Times New Roman" w:hAnsi="Times New Roman"/>
          <w:bCs/>
          <w:i/>
          <w:iCs/>
          <w:position w:val="-30"/>
        </w:rPr>
        <w:t>B</w:t>
      </w:r>
      <w:r>
        <w:rPr>
          <w:rFonts w:ascii="Times New Roman" w:hAnsi="Times New Roman"/>
          <w:bCs/>
          <w:position w:val="-30"/>
        </w:rPr>
        <w:t xml:space="preserve"> are constants corresponding to the initial fast and slow decay magnitudes, </w:t>
      </w:r>
      <w:r>
        <w:rPr>
          <w:rFonts w:ascii="Times New Roman" w:hAnsi="Times New Roman"/>
          <w:bCs/>
          <w:i/>
          <w:iCs/>
          <w:position w:val="-30"/>
        </w:rPr>
        <w:t>τ</w:t>
      </w:r>
      <w:r>
        <w:rPr>
          <w:rFonts w:ascii="Times New Roman" w:hAnsi="Times New Roman"/>
          <w:bCs/>
          <w:position w:val="-30"/>
          <w:vertAlign w:val="subscript"/>
        </w:rPr>
        <w:t>1</w:t>
      </w:r>
      <w:r>
        <w:rPr>
          <w:rFonts w:ascii="Times New Roman" w:hAnsi="Times New Roman"/>
          <w:bCs/>
          <w:position w:val="-30"/>
        </w:rPr>
        <w:t xml:space="preserve"> and </w:t>
      </w:r>
      <w:r>
        <w:rPr>
          <w:rFonts w:ascii="Times New Roman" w:hAnsi="Times New Roman"/>
          <w:bCs/>
          <w:i/>
          <w:iCs/>
          <w:position w:val="-30"/>
        </w:rPr>
        <w:t>τ</w:t>
      </w:r>
      <w:r>
        <w:rPr>
          <w:rFonts w:ascii="Times New Roman" w:hAnsi="Times New Roman"/>
          <w:bCs/>
          <w:position w:val="-30"/>
          <w:vertAlign w:val="subscript"/>
        </w:rPr>
        <w:t>2</w:t>
      </w:r>
      <w:r>
        <w:rPr>
          <w:rFonts w:ascii="Times New Roman" w:hAnsi="Times New Roman"/>
          <w:bCs/>
          <w:position w:val="-30"/>
        </w:rPr>
        <w:t xml:space="preserve"> are the relaxation times of fast and slow release of the trapped charges, respectively. The parameters </w:t>
      </w:r>
      <w:r>
        <w:rPr>
          <w:rFonts w:ascii="Times New Roman" w:hAnsi="Times New Roman"/>
          <w:bCs/>
          <w:i/>
          <w:iCs/>
          <w:position w:val="-30"/>
        </w:rPr>
        <w:t>τ</w:t>
      </w:r>
      <w:r>
        <w:rPr>
          <w:rFonts w:ascii="Times New Roman" w:hAnsi="Times New Roman"/>
          <w:bCs/>
          <w:position w:val="-30"/>
          <w:vertAlign w:val="subscript"/>
        </w:rPr>
        <w:t>1</w:t>
      </w:r>
      <w:r>
        <w:rPr>
          <w:rFonts w:ascii="Times New Roman" w:hAnsi="Times New Roman"/>
          <w:bCs/>
          <w:position w:val="-30"/>
        </w:rPr>
        <w:t xml:space="preserve"> and </w:t>
      </w:r>
      <w:r>
        <w:rPr>
          <w:rFonts w:ascii="Times New Roman" w:hAnsi="Times New Roman"/>
          <w:bCs/>
          <w:i/>
          <w:iCs/>
          <w:position w:val="-30"/>
        </w:rPr>
        <w:t>τ</w:t>
      </w:r>
      <w:r>
        <w:rPr>
          <w:rFonts w:ascii="Times New Roman" w:hAnsi="Times New Roman"/>
          <w:bCs/>
          <w:position w:val="-30"/>
          <w:vertAlign w:val="subscript"/>
        </w:rPr>
        <w:t>2</w:t>
      </w:r>
      <w:r>
        <w:rPr>
          <w:rFonts w:ascii="Times New Roman" w:hAnsi="Times New Roman"/>
          <w:bCs/>
          <w:position w:val="-30"/>
        </w:rPr>
        <w:t xml:space="preserve"> are </w:t>
      </w:r>
      <w:r>
        <w:rPr>
          <w:rFonts w:ascii="Times New Roman" w:hAnsi="Times New Roman" w:hint="eastAsia"/>
          <w:bCs/>
          <w:position w:val="-30"/>
        </w:rPr>
        <w:t>fitted as 87 s</w:t>
      </w:r>
      <w:r>
        <w:rPr>
          <w:rFonts w:ascii="Times New Roman" w:hAnsi="Times New Roman"/>
          <w:bCs/>
          <w:position w:val="-30"/>
        </w:rPr>
        <w:t xml:space="preserve"> and </w:t>
      </w:r>
      <w:r>
        <w:rPr>
          <w:rFonts w:ascii="Times New Roman" w:hAnsi="Times New Roman" w:hint="eastAsia"/>
          <w:bCs/>
          <w:position w:val="-30"/>
        </w:rPr>
        <w:t>353 s</w:t>
      </w:r>
      <w:r>
        <w:rPr>
          <w:rFonts w:ascii="Times New Roman" w:hAnsi="Times New Roman"/>
          <w:bCs/>
          <w:position w:val="-30"/>
        </w:rPr>
        <w:t>, respectively.</w:t>
      </w:r>
      <w:r>
        <w:rPr>
          <w:rFonts w:ascii="Times New Roman" w:hAnsi="Times New Roman" w:hint="eastAsia"/>
          <w:bCs/>
          <w:position w:val="-30"/>
        </w:rPr>
        <w:t xml:space="preserve"> Different from the </w:t>
      </w:r>
      <w:r>
        <w:rPr>
          <w:rFonts w:ascii="Times New Roman" w:hAnsi="Times New Roman" w:hint="eastAsia"/>
          <w:bCs/>
          <w:i/>
          <w:iCs/>
          <w:position w:val="-30"/>
        </w:rPr>
        <w:t xml:space="preserve">I-t </w:t>
      </w:r>
      <w:r>
        <w:rPr>
          <w:rFonts w:ascii="Times New Roman" w:hAnsi="Times New Roman" w:hint="eastAsia"/>
          <w:bCs/>
          <w:position w:val="-30"/>
        </w:rPr>
        <w:t>curves probed on diamond photodetectors</w:t>
      </w:r>
      <w:r>
        <w:rPr>
          <w:rFonts w:ascii="Times New Roman" w:hAnsi="Times New Roman" w:hint="eastAsia"/>
          <w:bCs/>
          <w:position w:val="-30"/>
          <w:vertAlign w:val="superscript"/>
        </w:rPr>
        <w:t>[54,55]</w:t>
      </w:r>
      <w:r>
        <w:rPr>
          <w:rFonts w:ascii="Times New Roman" w:hAnsi="Times New Roman" w:hint="eastAsia"/>
          <w:bCs/>
          <w:position w:val="-30"/>
        </w:rPr>
        <w:t>, in which the photocurrent can both rapidly reach to the maximum value and recovery to the initial state. However, in our diamond device, the slow rise and decay of the photocurrent agree well with the PPC effect in a photoconductor</w:t>
      </w:r>
      <w:r>
        <w:rPr>
          <w:rFonts w:ascii="Times New Roman" w:hAnsi="Times New Roman" w:hint="eastAsia"/>
          <w:bCs/>
          <w:position w:val="-30"/>
          <w:vertAlign w:val="superscript"/>
        </w:rPr>
        <w:t>[57]</w:t>
      </w:r>
      <w:r>
        <w:rPr>
          <w:rFonts w:ascii="Times New Roman" w:hAnsi="Times New Roman" w:hint="eastAsia"/>
          <w:bCs/>
          <w:position w:val="-30"/>
        </w:rPr>
        <w:t xml:space="preserve">. As previously reported, various defects such as NV color center, C vacancies, grain boundaries, and non-diamond phases can responsible to the PPC effect for visible light response in poly-crystal </w:t>
      </w:r>
      <w:r>
        <w:rPr>
          <w:rFonts w:ascii="Times New Roman" w:hAnsi="Times New Roman" w:hint="eastAsia"/>
          <w:bCs/>
          <w:position w:val="-30"/>
        </w:rPr>
        <w:lastRenderedPageBreak/>
        <w:t>diamond</w:t>
      </w:r>
      <w:r>
        <w:rPr>
          <w:rFonts w:ascii="Times New Roman" w:hAnsi="Times New Roman" w:hint="eastAsia"/>
          <w:bCs/>
          <w:position w:val="-30"/>
          <w:vertAlign w:val="superscript"/>
        </w:rPr>
        <w:t>[57-60]</w:t>
      </w:r>
      <w:r>
        <w:rPr>
          <w:rFonts w:ascii="Times New Roman" w:hAnsi="Times New Roman" w:hint="eastAsia"/>
          <w:bCs/>
          <w:position w:val="-30"/>
        </w:rPr>
        <w:t>. Obviously, as also discussed above, the signals from NV color center and C vacancy are probed in the PL spectra (Figure 2e), and the grain boundaries and the non-diamond graphite phase are observed by the SEM and XRD measurements, respectively. Additionally, surface states introduced by the functional groups are also confirmed in our sample. Thus, defect levels within the forbidden gap act as the trap of photo-generated carriers, which can greatly prolong their life time. Figure 2f indicates that most of the defect levels locate at the lower half of the bandgap, acting as deep acceptor-like levels. When the illumination is off, the detrapping of holes is a slow process, thus ultralong carriers storage is naturally expected.</w:t>
      </w:r>
      <w:r>
        <w:rPr>
          <w:rFonts w:ascii="Times New Roman" w:hAnsi="Times New Roman" w:hint="eastAsia"/>
          <w:bCs/>
          <w:color w:val="FF0000"/>
          <w:position w:val="-30"/>
        </w:rPr>
        <w:t xml:space="preserve"> </w:t>
      </w:r>
      <w:r>
        <w:rPr>
          <w:rFonts w:ascii="Times New Roman" w:hAnsi="Times New Roman" w:hint="eastAsia"/>
          <w:bCs/>
          <w:position w:val="-30"/>
        </w:rPr>
        <w:t>Owing to the excellent nonvolatile conductance, the ITO-Diamond-ITO photodetector can be employed as an artificial synaptic device to mimic the transmission of electrical signals between neurons. As presented in Figure 3e, the ITO-Diamond-ITO device is stimulated through modulating the laser pulse, then spike-like photocurrent produces. This is similar to the transfer of electrical signal between two neurons (Figure 3f), the excitatory post-synaptic current (EPSC) is induced by the pre-synapse and then released to the post-synapse. The connection strength between two neurons decides the amplitude of the EPSC</w:t>
      </w:r>
      <w:r>
        <w:rPr>
          <w:rFonts w:ascii="Times New Roman" w:hAnsi="Times New Roman" w:hint="eastAsia"/>
          <w:bCs/>
          <w:position w:val="-30"/>
          <w:vertAlign w:val="superscript"/>
        </w:rPr>
        <w:t>[61]</w:t>
      </w:r>
      <w:r>
        <w:rPr>
          <w:rFonts w:ascii="Times New Roman" w:hAnsi="Times New Roman" w:hint="eastAsia"/>
          <w:bCs/>
          <w:position w:val="-30"/>
        </w:rPr>
        <w:t>.</w:t>
      </w:r>
    </w:p>
    <w:p w14:paraId="2498E477" w14:textId="77777777" w:rsidR="00E565B4" w:rsidRDefault="00E565B4">
      <w:pPr>
        <w:widowControl w:val="0"/>
        <w:snapToGrid w:val="0"/>
        <w:spacing w:line="360" w:lineRule="auto"/>
        <w:jc w:val="both"/>
        <w:rPr>
          <w:rFonts w:ascii="Times New Roman" w:hAnsi="Times New Roman"/>
          <w:bCs/>
          <w:position w:val="-30"/>
        </w:rPr>
      </w:pPr>
    </w:p>
    <w:p w14:paraId="18815D88" w14:textId="77777777" w:rsidR="00E565B4" w:rsidRDefault="00000000">
      <w:pPr>
        <w:widowControl w:val="0"/>
        <w:spacing w:line="360" w:lineRule="auto"/>
        <w:jc w:val="both"/>
        <w:rPr>
          <w:rFonts w:ascii="Times New Roman" w:hAnsi="Times New Roman"/>
          <w:b/>
          <w:bCs/>
        </w:rPr>
      </w:pPr>
      <w:r>
        <w:rPr>
          <w:rFonts w:ascii="Times New Roman" w:hAnsi="Times New Roman" w:hint="eastAsia"/>
          <w:b/>
          <w:bCs/>
          <w:noProof/>
        </w:rPr>
        <w:drawing>
          <wp:inline distT="0" distB="0" distL="114300" distR="114300" wp14:anchorId="2665A4A9" wp14:editId="246AA6F0">
            <wp:extent cx="5271770" cy="2912110"/>
            <wp:effectExtent l="0" t="0" r="1270" b="13970"/>
            <wp:docPr id="12" name="图片 12" descr="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igure 5-2"/>
                    <pic:cNvPicPr>
                      <a:picLocks noChangeAspect="1"/>
                    </pic:cNvPicPr>
                  </pic:nvPicPr>
                  <pic:blipFill>
                    <a:blip r:embed="rId11"/>
                    <a:stretch>
                      <a:fillRect/>
                    </a:stretch>
                  </pic:blipFill>
                  <pic:spPr>
                    <a:xfrm>
                      <a:off x="0" y="0"/>
                      <a:ext cx="5271770" cy="2912110"/>
                    </a:xfrm>
                    <a:prstGeom prst="rect">
                      <a:avLst/>
                    </a:prstGeom>
                  </pic:spPr>
                </pic:pic>
              </a:graphicData>
            </a:graphic>
          </wp:inline>
        </w:drawing>
      </w:r>
    </w:p>
    <w:p w14:paraId="35EDFC01" w14:textId="77777777" w:rsidR="00E565B4" w:rsidRDefault="00000000">
      <w:pPr>
        <w:widowControl w:val="0"/>
        <w:spacing w:line="360" w:lineRule="auto"/>
        <w:jc w:val="both"/>
        <w:rPr>
          <w:rFonts w:ascii="Times New Roman" w:hAnsi="Times New Roman"/>
        </w:rPr>
      </w:pPr>
      <w:r>
        <w:rPr>
          <w:rFonts w:ascii="Times New Roman" w:hAnsi="Times New Roman" w:hint="eastAsia"/>
          <w:b/>
          <w:bCs/>
        </w:rPr>
        <w:t>Figure 4.</w:t>
      </w:r>
      <w:r>
        <w:rPr>
          <w:rFonts w:ascii="Times New Roman" w:hAnsi="Times New Roman" w:hint="eastAsia"/>
        </w:rPr>
        <w:t xml:space="preserve"> a) The EPSC amplitude excited by 405 nm laser light (voltage: 5 V, pulse </w:t>
      </w:r>
      <w:r>
        <w:rPr>
          <w:rFonts w:ascii="Times New Roman" w:hAnsi="Times New Roman" w:hint="eastAsia"/>
        </w:rPr>
        <w:lastRenderedPageBreak/>
        <w:t>width: 5 s) with different light densities; b) The EPSC amplitude excited by 405 nm laser light (pulse width: 5 s, light density: 196.2 mW/cm</w:t>
      </w:r>
      <w:r>
        <w:rPr>
          <w:rFonts w:ascii="Times New Roman" w:hAnsi="Times New Roman" w:hint="eastAsia"/>
          <w:vertAlign w:val="superscript"/>
        </w:rPr>
        <w:t>2</w:t>
      </w:r>
      <w:r>
        <w:rPr>
          <w:rFonts w:ascii="Times New Roman" w:hAnsi="Times New Roman" w:hint="eastAsia"/>
        </w:rPr>
        <w:t>) measured at different reading voltages; c) The EPSC amplitude excited by 405 nm laser light (voltage: 5 V, light density: 196.2 mW/cm</w:t>
      </w:r>
      <w:r>
        <w:rPr>
          <w:rFonts w:ascii="Times New Roman" w:hAnsi="Times New Roman" w:hint="eastAsia"/>
          <w:vertAlign w:val="superscript"/>
        </w:rPr>
        <w:t>2</w:t>
      </w:r>
      <w:r>
        <w:rPr>
          <w:rFonts w:ascii="Times New Roman" w:hAnsi="Times New Roman" w:hint="eastAsia"/>
        </w:rPr>
        <w:t>) with different pulse widths; d) The EPSC amplitude at 5 V (pulse width: 5 s, light density: 196.2 mW/cm</w:t>
      </w:r>
      <w:r>
        <w:rPr>
          <w:rFonts w:ascii="Times New Roman" w:hAnsi="Times New Roman" w:hint="eastAsia"/>
          <w:vertAlign w:val="superscript"/>
        </w:rPr>
        <w:t>2</w:t>
      </w:r>
      <w:r>
        <w:rPr>
          <w:rFonts w:ascii="Times New Roman" w:hAnsi="Times New Roman" w:hint="eastAsia"/>
        </w:rPr>
        <w:t>) in response to 20 optical pulse stimuli with different pulse intervals; e) The EPSC amplitude at 5 V (pulse width: 5 s, light density: 196.2 mW/cm</w:t>
      </w:r>
      <w:r>
        <w:rPr>
          <w:rFonts w:ascii="Times New Roman" w:hAnsi="Times New Roman" w:hint="eastAsia"/>
          <w:vertAlign w:val="superscript"/>
        </w:rPr>
        <w:t>2</w:t>
      </w:r>
      <w:r>
        <w:rPr>
          <w:rFonts w:ascii="Times New Roman" w:hAnsi="Times New Roman" w:hint="eastAsia"/>
        </w:rPr>
        <w:t>) stimulated by paired optical pulses; f) The PPF index (pulse width: 5 s, light density: 196.2 mW/cm</w:t>
      </w:r>
      <w:r>
        <w:rPr>
          <w:rFonts w:ascii="Times New Roman" w:hAnsi="Times New Roman" w:hint="eastAsia"/>
          <w:vertAlign w:val="superscript"/>
        </w:rPr>
        <w:t>2</w:t>
      </w:r>
      <w:r>
        <w:rPr>
          <w:rFonts w:ascii="Times New Roman" w:hAnsi="Times New Roman" w:hint="eastAsia"/>
        </w:rPr>
        <w:t>) varies with different pulse intervals from 1 to 600 s and its fitting curve.</w:t>
      </w:r>
    </w:p>
    <w:p w14:paraId="05E984CA" w14:textId="77777777" w:rsidR="00E565B4" w:rsidRDefault="00E565B4">
      <w:pPr>
        <w:widowControl w:val="0"/>
        <w:spacing w:line="360" w:lineRule="auto"/>
        <w:jc w:val="both"/>
        <w:rPr>
          <w:rFonts w:ascii="Times New Roman" w:hAnsi="Times New Roman"/>
        </w:rPr>
      </w:pPr>
    </w:p>
    <w:p w14:paraId="6A97E55D" w14:textId="77777777" w:rsidR="00E565B4" w:rsidRDefault="00000000">
      <w:pPr>
        <w:widowControl w:val="0"/>
        <w:spacing w:line="360" w:lineRule="auto"/>
        <w:ind w:firstLineChars="100" w:firstLine="240"/>
        <w:jc w:val="both"/>
        <w:rPr>
          <w:rFonts w:ascii="Times New Roman" w:hAnsi="Times New Roman"/>
        </w:rPr>
      </w:pPr>
      <w:r>
        <w:rPr>
          <w:rFonts w:ascii="Times New Roman" w:hAnsi="Times New Roman" w:hint="eastAsia"/>
        </w:rPr>
        <w:t>Biologically, larger EPSC amplitude (</w:t>
      </w:r>
      <w:r>
        <w:rPr>
          <w:rFonts w:ascii="Times New Roman" w:hAnsi="Times New Roman"/>
        </w:rPr>
        <w:t>Δ</w:t>
      </w:r>
      <w:r>
        <w:rPr>
          <w:rFonts w:ascii="Times New Roman" w:hAnsi="Times New Roman" w:hint="eastAsia"/>
        </w:rPr>
        <w:t>EPSC) indicates stronger connection between pre-synaptic neuron and post-synaptic neuron. For an artificial optoelectronic synaptic device, several ways including strengthening the excited light density, enhancing the reading voltage, and prolonging the excited time can be employed to realize such goal. As presented in Figure 4a, the enhancement of the light density (wavelength: 405 nm, voltage: 5 V, pulse width: 5 s) from 43.3 to 381.9 mW/cm</w:t>
      </w:r>
      <w:r>
        <w:rPr>
          <w:rFonts w:ascii="Times New Roman" w:hAnsi="Times New Roman" w:hint="eastAsia"/>
          <w:vertAlign w:val="superscript"/>
        </w:rPr>
        <w:t>2</w:t>
      </w:r>
      <w:r>
        <w:rPr>
          <w:rFonts w:ascii="Times New Roman" w:hAnsi="Times New Roman" w:hint="eastAsia"/>
        </w:rPr>
        <w:t xml:space="preserve"> can greatly contribute to the increase of photocurrent because of the multiplication of the incident photons. The EPSC amplitude (net photocurrent) can be expressed as a function of the light density</w:t>
      </w:r>
      <w:r>
        <w:rPr>
          <w:rFonts w:ascii="Times New Roman" w:hAnsi="Times New Roman" w:hint="eastAsia"/>
          <w:vertAlign w:val="superscript"/>
        </w:rPr>
        <w:t>[62]</w:t>
      </w:r>
      <w:r>
        <w:rPr>
          <w:rFonts w:ascii="Times New Roman" w:hAnsi="Times New Roman" w:hint="eastAsia"/>
        </w:rPr>
        <w:t>:</w:t>
      </w:r>
    </w:p>
    <w:p w14:paraId="60471286" w14:textId="77777777" w:rsidR="00E565B4" w:rsidRDefault="00000000">
      <w:pPr>
        <w:widowControl w:val="0"/>
        <w:spacing w:line="360" w:lineRule="auto"/>
        <w:ind w:firstLineChars="200" w:firstLine="480"/>
        <w:jc w:val="right"/>
        <w:rPr>
          <w:rFonts w:ascii="Times New Roman" w:hAnsi="Times New Roman"/>
        </w:rPr>
      </w:pPr>
      <w:r>
        <w:rPr>
          <w:rFonts w:ascii="Times New Roman" w:hAnsi="Times New Roman" w:hint="eastAsia"/>
        </w:rPr>
        <w:t xml:space="preserve">  </w:t>
      </w:r>
      <w:r>
        <w:rPr>
          <w:rFonts w:hint="eastAsia"/>
          <w:bCs/>
          <w:position w:val="-6"/>
        </w:rPr>
        <w:object w:dxaOrig="1320" w:dyaOrig="322" w14:anchorId="2A92F9DD">
          <v:shape id="_x0000_i1026" type="#_x0000_t75" style="width:65.95pt;height:16.35pt" o:ole="">
            <v:imagedata r:id="rId12" o:title=""/>
          </v:shape>
          <o:OLEObject Type="Embed" ProgID="Equation.3" ShapeID="_x0000_i1026" DrawAspect="Content" ObjectID="_1810474483" r:id="rId13"/>
        </w:object>
      </w:r>
      <w:r>
        <w:rPr>
          <w:rFonts w:hint="eastAsia"/>
          <w:bCs/>
        </w:rPr>
        <w:tab/>
        <w:t xml:space="preserve">                     </w:t>
      </w:r>
      <w:r>
        <w:rPr>
          <w:rFonts w:ascii="Times New Roman" w:hAnsi="Times New Roman" w:hint="eastAsia"/>
        </w:rPr>
        <w:t xml:space="preserve">       (2)</w:t>
      </w:r>
    </w:p>
    <w:p w14:paraId="219E948B" w14:textId="77777777" w:rsidR="00E565B4" w:rsidRDefault="00000000">
      <w:pPr>
        <w:widowControl w:val="0"/>
        <w:spacing w:line="360" w:lineRule="auto"/>
        <w:jc w:val="both"/>
        <w:rPr>
          <w:rFonts w:ascii="Times New Roman" w:hAnsi="Times New Roman"/>
        </w:rPr>
      </w:pPr>
      <w:r>
        <w:rPr>
          <w:rFonts w:ascii="Times New Roman" w:hAnsi="Times New Roman" w:hint="eastAsia"/>
        </w:rPr>
        <w:t>w</w:t>
      </w:r>
      <w:r>
        <w:rPr>
          <w:rFonts w:ascii="Times New Roman" w:hAnsi="Times New Roman"/>
        </w:rPr>
        <w:t>here</w:t>
      </w:r>
      <w:r>
        <w:rPr>
          <w:rFonts w:ascii="Times New Roman" w:hAnsi="Times New Roman" w:hint="eastAsia"/>
        </w:rPr>
        <w:t xml:space="preserve"> </w:t>
      </w:r>
      <w:r>
        <w:rPr>
          <w:rFonts w:ascii="Times New Roman" w:hAnsi="Times New Roman"/>
        </w:rPr>
        <w:t>Δ</w:t>
      </w:r>
      <w:r>
        <w:rPr>
          <w:rFonts w:ascii="Times New Roman" w:hAnsi="Times New Roman" w:hint="eastAsia"/>
        </w:rPr>
        <w:t>EPSC</w:t>
      </w:r>
      <w:r>
        <w:rPr>
          <w:rFonts w:ascii="Times New Roman" w:hAnsi="Times New Roman"/>
        </w:rPr>
        <w:t xml:space="preserve"> is the</w:t>
      </w:r>
      <w:r>
        <w:rPr>
          <w:rFonts w:ascii="Times New Roman" w:hAnsi="Times New Roman" w:hint="eastAsia"/>
        </w:rPr>
        <w:t xml:space="preserve"> EPSC amplitude (or net</w:t>
      </w:r>
      <w:r>
        <w:rPr>
          <w:rFonts w:ascii="Times New Roman" w:hAnsi="Times New Roman"/>
        </w:rPr>
        <w:t xml:space="preserve"> photocurrent</w:t>
      </w:r>
      <w:r>
        <w:rPr>
          <w:rFonts w:ascii="Times New Roman" w:hAnsi="Times New Roman" w:hint="eastAsia"/>
        </w:rPr>
        <w:t>)</w:t>
      </w:r>
      <w:r>
        <w:rPr>
          <w:rFonts w:ascii="Times New Roman" w:hAnsi="Times New Roman"/>
        </w:rPr>
        <w:t xml:space="preserve"> and </w:t>
      </w:r>
      <w:r>
        <w:rPr>
          <w:rFonts w:ascii="Times New Roman" w:hAnsi="Times New Roman"/>
          <w:i/>
          <w:iCs/>
        </w:rPr>
        <w:t>P</w:t>
      </w:r>
      <w:r>
        <w:rPr>
          <w:rFonts w:ascii="Times New Roman" w:hAnsi="Times New Roman"/>
        </w:rPr>
        <w:t xml:space="preserve"> is the incident </w:t>
      </w:r>
      <w:r>
        <w:rPr>
          <w:rFonts w:ascii="Times New Roman" w:hAnsi="Times New Roman" w:hint="eastAsia"/>
        </w:rPr>
        <w:t>light</w:t>
      </w:r>
      <w:r>
        <w:rPr>
          <w:rFonts w:ascii="Times New Roman" w:hAnsi="Times New Roman"/>
        </w:rPr>
        <w:t xml:space="preserve"> density.</w:t>
      </w:r>
      <w:r>
        <w:rPr>
          <w:rFonts w:ascii="Times New Roman" w:hAnsi="Times New Roman" w:hint="eastAsia"/>
        </w:rPr>
        <w:t xml:space="preserve"> As indicated in Figure S11a, the index of the power la</w:t>
      </w:r>
      <w:r>
        <w:rPr>
          <w:rFonts w:ascii="Times New Roman" w:hAnsi="Times New Roman"/>
        </w:rPr>
        <w:t>w</w:t>
      </w:r>
      <w:r>
        <w:rPr>
          <w:rFonts w:ascii="Times New Roman" w:hAnsi="Times New Roman"/>
          <w:i/>
          <w:iCs/>
        </w:rPr>
        <w:t xml:space="preserve"> α</w:t>
      </w:r>
      <w:r>
        <w:rPr>
          <w:rFonts w:ascii="Times New Roman" w:hAnsi="Times New Roman" w:hint="eastAsia"/>
          <w:i/>
          <w:iCs/>
        </w:rPr>
        <w:t xml:space="preserve"> </w:t>
      </w:r>
      <w:r>
        <w:rPr>
          <w:rFonts w:ascii="Times New Roman" w:hAnsi="Times New Roman" w:hint="eastAsia"/>
        </w:rPr>
        <w:t>is calculated to be 1.4, indicating a complex photocurrent gain process during the interaction between diamond and photons. Figure 4b exhibits the reading voltage-dependent EPSC amplitude, in which the synapse device is excited with a single pulse (wavelength: 405 nm, pulse width: 5 s, light density: 196.2 mW/cm</w:t>
      </w:r>
      <w:r>
        <w:rPr>
          <w:rFonts w:ascii="Times New Roman" w:hAnsi="Times New Roman" w:hint="eastAsia"/>
          <w:vertAlign w:val="superscript"/>
        </w:rPr>
        <w:t>2</w:t>
      </w:r>
      <w:r>
        <w:rPr>
          <w:rFonts w:ascii="Times New Roman" w:hAnsi="Times New Roman" w:hint="eastAsia"/>
        </w:rPr>
        <w:t xml:space="preserve">). Apparently, higher reading voltage can naturally contribute to stronger net photocurrent and longer decay time. As summarized in Figure S11b, the EPSC amplitude is linearly depending on the reading voltage. Figure 4c shows the EPSC amplitude stimulated by one single pulse with </w:t>
      </w:r>
      <w:r>
        <w:rPr>
          <w:rFonts w:ascii="Times New Roman" w:hAnsi="Times New Roman" w:hint="eastAsia"/>
        </w:rPr>
        <w:lastRenderedPageBreak/>
        <w:t>different pulse widths (wavelength: 405 nm, voltage: 5 V, light density: 196.2 mW/cm</w:t>
      </w:r>
      <w:r>
        <w:rPr>
          <w:rFonts w:ascii="Times New Roman" w:hAnsi="Times New Roman" w:hint="eastAsia"/>
          <w:vertAlign w:val="superscript"/>
        </w:rPr>
        <w:t>2</w:t>
      </w:r>
      <w:r>
        <w:rPr>
          <w:rFonts w:ascii="Times New Roman" w:hAnsi="Times New Roman" w:hint="eastAsia"/>
        </w:rPr>
        <w:t>). Similarly, as longer triggered duration is applied on the diamond device, more photogenerated carriers are produced and subsequently the EPSC amplitude continuously increases. Additionally, a linear relationship between EPSC amplitude and pulse width is also observed (Figure S11c). Therefore, the ITO/Diamond/ITO structure can be utilized as an optoelectronic synaptic device for imitating the behavior from STM and LTM through controlling the light density, reading voltage, and triggered pulse width, and the converted process confirms the synaptic plasticity. Optical stimuli at different pulse intervals (pulse width: 5 s) with twenty pulses are presented in Figure 4d, and the relationship between EPSC amplitude and pulse number is summarized in Figure S11d. Obviously, under one certain excited pulse with the same pulse duration, the EPSC amplitude continuously enhances as the pulse number increases. In addition, the maximum EPSC amplitude after twenty pulse stimuli can be manipulated by the pulse interval between two adjacent stimuli. Shorter pulse interval naturally induces a higher start point when next stimulus comes. Physiologically, re-learning period should be shorten in order to reduce the forgetting effect. So, as summarized in Figure S11d, the maximum EPSC amplitude with pulse interval of 10 s after twenty stimuli reaches to 75 nA, while that with pulse interval of 60 s is only 34 nA. Paired pulse facilitation (PPF) index, which refers to a biological phenomenon of a pair of consecutive stimuli on the post-neuron, where the second stimulus can immediately strengthen the postsynaptic current. As imitated by the diamond optoelectronic synaptic device, the PPF index is expressed as the ratio of photocurrent</w:t>
      </w:r>
      <w:r>
        <w:rPr>
          <w:rFonts w:ascii="Times New Roman" w:hAnsi="Times New Roman"/>
        </w:rPr>
        <w:t>s between two adjacent stimuli</w:t>
      </w:r>
      <w:r>
        <w:rPr>
          <w:rFonts w:ascii="Times New Roman" w:hAnsi="Times New Roman"/>
          <w:vertAlign w:val="superscript"/>
        </w:rPr>
        <w:t>[</w:t>
      </w:r>
      <w:r>
        <w:rPr>
          <w:rFonts w:ascii="Times New Roman" w:hAnsi="Times New Roman" w:hint="eastAsia"/>
          <w:vertAlign w:val="superscript"/>
        </w:rPr>
        <w:t>62</w:t>
      </w:r>
      <w:r>
        <w:rPr>
          <w:rFonts w:ascii="Times New Roman" w:hAnsi="Times New Roman"/>
          <w:vertAlign w:val="superscript"/>
        </w:rPr>
        <w:t>]</w:t>
      </w:r>
      <w:r>
        <w:rPr>
          <w:rFonts w:ascii="Times New Roman" w:hAnsi="Times New Roman"/>
        </w:rPr>
        <w:t xml:space="preserve">: </w:t>
      </w:r>
    </w:p>
    <w:p w14:paraId="5BB5679E" w14:textId="77777777" w:rsidR="00E565B4" w:rsidRDefault="00000000">
      <w:pPr>
        <w:tabs>
          <w:tab w:val="center" w:pos="3780"/>
          <w:tab w:val="right" w:pos="7980"/>
        </w:tabs>
        <w:snapToGrid w:val="0"/>
        <w:spacing w:line="360" w:lineRule="auto"/>
        <w:jc w:val="right"/>
        <w:rPr>
          <w:rFonts w:ascii="Times New Roman" w:hAnsi="Times New Roman"/>
          <w:bCs/>
        </w:rPr>
      </w:pPr>
      <w:r>
        <w:rPr>
          <w:rFonts w:ascii="Times New Roman" w:hAnsi="Times New Roman"/>
          <w:bCs/>
          <w:position w:val="-12"/>
        </w:rPr>
        <w:object w:dxaOrig="2364" w:dyaOrig="365" w14:anchorId="6388615C">
          <v:shape id="_x0000_i1027" type="#_x0000_t75" style="width:118pt;height:18.15pt" o:ole="">
            <v:imagedata r:id="rId14" o:title=""/>
          </v:shape>
          <o:OLEObject Type="Embed" ProgID="Equation.3" ShapeID="_x0000_i1027" DrawAspect="Content" ObjectID="_1810474484" r:id="rId15"/>
        </w:object>
      </w:r>
      <w:r>
        <w:rPr>
          <w:rFonts w:ascii="Times New Roman" w:hAnsi="Times New Roman"/>
          <w:bCs/>
        </w:rPr>
        <w:tab/>
        <w:t xml:space="preserve">         </w:t>
      </w:r>
      <w:r>
        <w:rPr>
          <w:rFonts w:ascii="Times New Roman" w:hAnsi="Times New Roman" w:hint="eastAsia"/>
          <w:bCs/>
        </w:rPr>
        <w:t xml:space="preserve">     </w:t>
      </w:r>
      <w:r>
        <w:rPr>
          <w:rFonts w:ascii="Times New Roman" w:hAnsi="Times New Roman"/>
          <w:bCs/>
        </w:rPr>
        <w:t xml:space="preserve">          (</w:t>
      </w:r>
      <w:r>
        <w:rPr>
          <w:rFonts w:ascii="Times New Roman" w:hAnsi="Times New Roman" w:hint="eastAsia"/>
          <w:bCs/>
        </w:rPr>
        <w:t>3</w:t>
      </w:r>
      <w:r>
        <w:rPr>
          <w:rFonts w:ascii="Times New Roman" w:hAnsi="Times New Roman"/>
          <w:bCs/>
        </w:rPr>
        <w:t>)</w:t>
      </w:r>
    </w:p>
    <w:p w14:paraId="59551168" w14:textId="77777777" w:rsidR="00E565B4" w:rsidRDefault="00000000">
      <w:pPr>
        <w:tabs>
          <w:tab w:val="center" w:pos="3780"/>
          <w:tab w:val="right" w:pos="7980"/>
        </w:tabs>
        <w:snapToGrid w:val="0"/>
        <w:spacing w:line="360" w:lineRule="auto"/>
        <w:jc w:val="both"/>
        <w:rPr>
          <w:rFonts w:ascii="Times New Roman" w:hAnsi="Times New Roman"/>
        </w:rPr>
      </w:pPr>
      <w:r>
        <w:rPr>
          <w:rFonts w:ascii="Times New Roman" w:hAnsi="Times New Roman" w:hint="eastAsia"/>
          <w:bCs/>
        </w:rPr>
        <w:t>where</w:t>
      </w:r>
      <w:r>
        <w:rPr>
          <w:rFonts w:ascii="Times New Roman" w:hAnsi="Times New Roman" w:hint="eastAsia"/>
          <w:bCs/>
          <w:i/>
          <w:iCs/>
        </w:rPr>
        <w:t xml:space="preserve"> A</w:t>
      </w:r>
      <w:r>
        <w:rPr>
          <w:rFonts w:ascii="Times New Roman" w:hAnsi="Times New Roman" w:hint="eastAsia"/>
          <w:bCs/>
          <w:i/>
          <w:iCs/>
          <w:vertAlign w:val="subscript"/>
        </w:rPr>
        <w:t>1</w:t>
      </w:r>
      <w:r>
        <w:rPr>
          <w:rFonts w:ascii="Times New Roman" w:hAnsi="Times New Roman" w:hint="eastAsia"/>
          <w:bCs/>
        </w:rPr>
        <w:t xml:space="preserve"> and</w:t>
      </w:r>
      <w:r>
        <w:rPr>
          <w:rFonts w:ascii="Times New Roman" w:hAnsi="Times New Roman" w:hint="eastAsia"/>
          <w:bCs/>
          <w:i/>
          <w:iCs/>
        </w:rPr>
        <w:t xml:space="preserve"> A</w:t>
      </w:r>
      <w:r>
        <w:rPr>
          <w:rFonts w:ascii="Times New Roman" w:hAnsi="Times New Roman" w:hint="eastAsia"/>
          <w:bCs/>
          <w:i/>
          <w:iCs/>
          <w:vertAlign w:val="subscript"/>
        </w:rPr>
        <w:t>2</w:t>
      </w:r>
      <w:r>
        <w:rPr>
          <w:rFonts w:ascii="Times New Roman" w:hAnsi="Times New Roman" w:hint="eastAsia"/>
          <w:bCs/>
          <w:i/>
          <w:iCs/>
        </w:rPr>
        <w:t xml:space="preserve"> </w:t>
      </w:r>
      <w:r>
        <w:rPr>
          <w:rFonts w:ascii="Times New Roman" w:hAnsi="Times New Roman" w:hint="eastAsia"/>
          <w:bCs/>
        </w:rPr>
        <w:t xml:space="preserve">are the photocurrent induced by the first optical pulse and the second optical pulse, respectively. As indicated in Figure 4e, under the paired optical stimuli (wavelength: 405 nm, voltage: 5 V, pulse width: 5 s, light density: </w:t>
      </w:r>
      <w:r>
        <w:rPr>
          <w:rFonts w:ascii="Times New Roman" w:hAnsi="Times New Roman" w:hint="eastAsia"/>
        </w:rPr>
        <w:t>196.2 mW/cm</w:t>
      </w:r>
      <w:r>
        <w:rPr>
          <w:rFonts w:ascii="Times New Roman" w:hAnsi="Times New Roman" w:hint="eastAsia"/>
          <w:vertAlign w:val="superscript"/>
        </w:rPr>
        <w:t>2</w:t>
      </w:r>
      <w:r>
        <w:rPr>
          <w:rFonts w:ascii="Times New Roman" w:hAnsi="Times New Roman" w:hint="eastAsia"/>
          <w:bCs/>
        </w:rPr>
        <w:t xml:space="preserve">), the </w:t>
      </w:r>
      <w:r>
        <w:rPr>
          <w:rFonts w:ascii="Times New Roman" w:hAnsi="Times New Roman" w:hint="eastAsia"/>
        </w:rPr>
        <w:t xml:space="preserve">EPSC amplitude induced by the second stimulus is much stronger than that induced by the first stimulus. That is because of the non-volatile characteristic of the optoelectronic synaptic device, the decay of EPSC lasts for a long time. Figure 4f summarizes the </w:t>
      </w:r>
      <w:r>
        <w:rPr>
          <w:rFonts w:ascii="Times New Roman" w:hAnsi="Times New Roman" w:hint="eastAsia"/>
        </w:rPr>
        <w:lastRenderedPageBreak/>
        <w:t>relationship between the PPF index and the optical interval, the shorter interval means the faster re-stimulus, which can naturally enhances the PPF index. The high PPF index normally indicates strong synaptic connectivity, outstanding regulated ability, and wide-range adaptability. As the optical pulse interval is 5 s, the PPF index reaches to 174% and it continuously decays with the decrease of the optical interval. The PPF index can be fitted by a double exponential decay equation</w:t>
      </w:r>
      <w:r>
        <w:rPr>
          <w:rFonts w:ascii="Times New Roman" w:hAnsi="Times New Roman" w:hint="eastAsia"/>
          <w:vertAlign w:val="superscript"/>
        </w:rPr>
        <w:t>[62]</w:t>
      </w:r>
      <w:r>
        <w:rPr>
          <w:rFonts w:ascii="Times New Roman" w:hAnsi="Times New Roman" w:hint="eastAsia"/>
        </w:rPr>
        <w:t xml:space="preserve">:      </w:t>
      </w:r>
    </w:p>
    <w:p w14:paraId="2F89AA09" w14:textId="77777777" w:rsidR="00E565B4" w:rsidRDefault="00000000">
      <w:pPr>
        <w:tabs>
          <w:tab w:val="center" w:pos="3780"/>
          <w:tab w:val="right" w:pos="7980"/>
        </w:tabs>
        <w:snapToGrid w:val="0"/>
        <w:spacing w:line="360" w:lineRule="auto"/>
        <w:ind w:firstLineChars="700" w:firstLine="1680"/>
        <w:jc w:val="both"/>
        <w:rPr>
          <w:rFonts w:ascii="Times New Roman" w:hAnsi="Times New Roman"/>
          <w:bCs/>
        </w:rPr>
      </w:pPr>
      <w:r>
        <w:rPr>
          <w:rFonts w:ascii="Times New Roman" w:hAnsi="Times New Roman" w:hint="eastAsia"/>
        </w:rPr>
        <w:object w:dxaOrig="4583" w:dyaOrig="757" w14:anchorId="020BEA9B">
          <v:shape id="_x0000_i1028" type="#_x0000_t75" style="width:229.3pt;height:38.1pt" o:ole="">
            <v:imagedata r:id="rId16" o:title=""/>
          </v:shape>
          <o:OLEObject Type="Embed" ProgID="Equation.3" ShapeID="_x0000_i1028" DrawAspect="Content" ObjectID="_1810474485" r:id="rId17"/>
        </w:object>
      </w:r>
      <w:r>
        <w:rPr>
          <w:rFonts w:ascii="Times New Roman" w:hAnsi="Times New Roman" w:hint="eastAsia"/>
        </w:rPr>
        <w:tab/>
        <w:t>(4)</w:t>
      </w:r>
    </w:p>
    <w:p w14:paraId="4F4CDA49" w14:textId="77777777" w:rsidR="00E565B4" w:rsidRDefault="00000000">
      <w:pPr>
        <w:tabs>
          <w:tab w:val="center" w:pos="3780"/>
          <w:tab w:val="right" w:pos="7980"/>
        </w:tabs>
        <w:snapToGrid w:val="0"/>
        <w:spacing w:line="360" w:lineRule="auto"/>
        <w:jc w:val="both"/>
        <w:rPr>
          <w:rFonts w:ascii="Times New Roman" w:hAnsi="Times New Roman"/>
          <w:bCs/>
        </w:rPr>
      </w:pPr>
      <w:r>
        <w:rPr>
          <w:rFonts w:ascii="Times New Roman" w:hAnsi="Times New Roman"/>
          <w:bCs/>
          <w:position w:val="-30"/>
        </w:rPr>
        <w:t>where</w:t>
      </w:r>
      <w:r>
        <w:rPr>
          <w:rFonts w:ascii="Times New Roman" w:hAnsi="Times New Roman"/>
          <w:bCs/>
          <w:i/>
          <w:iCs/>
          <w:position w:val="-30"/>
        </w:rPr>
        <w:t xml:space="preserve"> C</w:t>
      </w:r>
      <w:r>
        <w:rPr>
          <w:rFonts w:ascii="Times New Roman" w:hAnsi="Times New Roman"/>
          <w:bCs/>
          <w:position w:val="-30"/>
          <w:vertAlign w:val="subscript"/>
        </w:rPr>
        <w:t>1</w:t>
      </w:r>
      <w:r>
        <w:rPr>
          <w:rFonts w:ascii="Times New Roman" w:hAnsi="Times New Roman"/>
          <w:bCs/>
          <w:position w:val="-30"/>
        </w:rPr>
        <w:t xml:space="preserve"> </w:t>
      </w:r>
      <w:r>
        <w:rPr>
          <w:rFonts w:ascii="Times New Roman" w:hAnsi="Times New Roman" w:hint="eastAsia"/>
          <w:bCs/>
          <w:position w:val="-30"/>
        </w:rPr>
        <w:t xml:space="preserve">and </w:t>
      </w:r>
      <w:r>
        <w:rPr>
          <w:rFonts w:ascii="Times New Roman" w:hAnsi="Times New Roman"/>
          <w:bCs/>
          <w:i/>
          <w:iCs/>
          <w:position w:val="-30"/>
        </w:rPr>
        <w:t>C</w:t>
      </w:r>
      <w:r>
        <w:rPr>
          <w:rFonts w:ascii="Times New Roman" w:hAnsi="Times New Roman"/>
          <w:bCs/>
          <w:position w:val="-30"/>
          <w:vertAlign w:val="subscript"/>
        </w:rPr>
        <w:t>2</w:t>
      </w:r>
      <w:r>
        <w:rPr>
          <w:rFonts w:ascii="Times New Roman" w:hAnsi="Times New Roman" w:hint="eastAsia"/>
          <w:bCs/>
          <w:position w:val="-30"/>
          <w:vertAlign w:val="subscript"/>
        </w:rPr>
        <w:t xml:space="preserve"> </w:t>
      </w:r>
      <w:r>
        <w:rPr>
          <w:rFonts w:ascii="Times New Roman" w:hAnsi="Times New Roman"/>
          <w:bCs/>
          <w:position w:val="-30"/>
        </w:rPr>
        <w:t>are the initial promotion amplitudes</w:t>
      </w:r>
      <w:r>
        <w:rPr>
          <w:rFonts w:ascii="Times New Roman" w:hAnsi="Times New Roman" w:hint="eastAsia"/>
          <w:bCs/>
          <w:position w:val="-30"/>
        </w:rPr>
        <w:t>,</w:t>
      </w:r>
      <w:r>
        <w:rPr>
          <w:rFonts w:ascii="Times New Roman" w:hAnsi="Times New Roman"/>
          <w:bCs/>
          <w:position w:val="-30"/>
        </w:rPr>
        <w:t xml:space="preserve"> and </w:t>
      </w:r>
      <w:r>
        <w:rPr>
          <w:rFonts w:ascii="Times New Roman" w:hAnsi="Times New Roman"/>
          <w:bCs/>
          <w:i/>
          <w:iCs/>
          <w:position w:val="-30"/>
        </w:rPr>
        <w:t>τ</w:t>
      </w:r>
      <w:r>
        <w:rPr>
          <w:rFonts w:ascii="Times New Roman" w:hAnsi="Times New Roman"/>
          <w:bCs/>
          <w:position w:val="-30"/>
          <w:vertAlign w:val="subscript"/>
        </w:rPr>
        <w:t>1</w:t>
      </w:r>
      <w:r>
        <w:rPr>
          <w:rFonts w:ascii="Times New Roman" w:hAnsi="Times New Roman" w:hint="eastAsia"/>
          <w:bCs/>
          <w:position w:val="-30"/>
          <w:vertAlign w:val="subscript"/>
        </w:rPr>
        <w:t xml:space="preserve"> </w:t>
      </w:r>
      <w:r>
        <w:rPr>
          <w:rFonts w:ascii="Times New Roman" w:hAnsi="Times New Roman" w:hint="eastAsia"/>
          <w:bCs/>
          <w:position w:val="-30"/>
        </w:rPr>
        <w:t xml:space="preserve">and </w:t>
      </w:r>
      <w:r>
        <w:rPr>
          <w:rFonts w:ascii="Times New Roman" w:hAnsi="Times New Roman"/>
          <w:bCs/>
          <w:i/>
          <w:iCs/>
          <w:position w:val="-30"/>
        </w:rPr>
        <w:t>τ</w:t>
      </w:r>
      <w:r>
        <w:rPr>
          <w:rFonts w:ascii="Times New Roman" w:hAnsi="Times New Roman"/>
          <w:bCs/>
          <w:position w:val="-30"/>
          <w:vertAlign w:val="subscript"/>
        </w:rPr>
        <w:t>2</w:t>
      </w:r>
      <w:r>
        <w:rPr>
          <w:rFonts w:ascii="Times New Roman" w:hAnsi="Times New Roman" w:hint="eastAsia"/>
          <w:bCs/>
          <w:position w:val="-30"/>
        </w:rPr>
        <w:t xml:space="preserve"> are </w:t>
      </w:r>
      <w:r>
        <w:rPr>
          <w:rFonts w:ascii="Times New Roman" w:hAnsi="Times New Roman"/>
          <w:bCs/>
          <w:position w:val="-30"/>
        </w:rPr>
        <w:t xml:space="preserve">characteristic relaxation times of the rapid </w:t>
      </w:r>
      <w:r>
        <w:rPr>
          <w:rFonts w:ascii="Times New Roman" w:hAnsi="Times New Roman" w:hint="eastAsia"/>
          <w:bCs/>
          <w:position w:val="-30"/>
        </w:rPr>
        <w:t xml:space="preserve">and </w:t>
      </w:r>
      <w:r>
        <w:rPr>
          <w:rFonts w:ascii="Times New Roman" w:hAnsi="Times New Roman"/>
          <w:bCs/>
          <w:position w:val="-30"/>
        </w:rPr>
        <w:t>slow decay</w:t>
      </w:r>
      <w:r>
        <w:rPr>
          <w:rFonts w:ascii="Times New Roman" w:hAnsi="Times New Roman" w:hint="eastAsia"/>
          <w:bCs/>
          <w:position w:val="-30"/>
        </w:rPr>
        <w:t xml:space="preserve">. As the first stimulus is stopped, the trapped holes will be released. If the interval time is short, larger ESPC can be obtained because of the high concentration of residual carriers brought by the first stimulus. In our diamond optoelectronic synaptic device, </w:t>
      </w:r>
      <w:r>
        <w:rPr>
          <w:rFonts w:ascii="Times New Roman" w:hAnsi="Times New Roman"/>
          <w:bCs/>
          <w:i/>
          <w:iCs/>
          <w:position w:val="-30"/>
        </w:rPr>
        <w:t>τ</w:t>
      </w:r>
      <w:r>
        <w:rPr>
          <w:rFonts w:ascii="Times New Roman" w:hAnsi="Times New Roman"/>
          <w:bCs/>
          <w:position w:val="-30"/>
          <w:vertAlign w:val="subscript"/>
        </w:rPr>
        <w:t>1</w:t>
      </w:r>
      <w:r>
        <w:rPr>
          <w:rFonts w:ascii="Times New Roman" w:hAnsi="Times New Roman" w:hint="eastAsia"/>
          <w:bCs/>
          <w:position w:val="-30"/>
          <w:vertAlign w:val="subscript"/>
        </w:rPr>
        <w:t xml:space="preserve"> </w:t>
      </w:r>
      <w:r>
        <w:rPr>
          <w:rFonts w:ascii="Times New Roman" w:hAnsi="Times New Roman" w:hint="eastAsia"/>
          <w:bCs/>
          <w:position w:val="-30"/>
        </w:rPr>
        <w:t xml:space="preserve">and </w:t>
      </w:r>
      <w:r>
        <w:rPr>
          <w:rFonts w:ascii="Times New Roman" w:hAnsi="Times New Roman"/>
          <w:bCs/>
          <w:i/>
          <w:iCs/>
          <w:position w:val="-30"/>
        </w:rPr>
        <w:t>τ</w:t>
      </w:r>
      <w:r>
        <w:rPr>
          <w:rFonts w:ascii="Times New Roman" w:hAnsi="Times New Roman"/>
          <w:bCs/>
          <w:position w:val="-30"/>
          <w:vertAlign w:val="subscript"/>
        </w:rPr>
        <w:t>2</w:t>
      </w:r>
      <w:r>
        <w:rPr>
          <w:rFonts w:ascii="Times New Roman" w:hAnsi="Times New Roman" w:hint="eastAsia"/>
          <w:bCs/>
          <w:position w:val="-30"/>
        </w:rPr>
        <w:t xml:space="preserve"> are fitted as 8 s and 810 s, indicating the excellent memristive performance.</w:t>
      </w:r>
    </w:p>
    <w:p w14:paraId="525EF324" w14:textId="77777777" w:rsidR="00E565B4" w:rsidRDefault="00E565B4">
      <w:pPr>
        <w:tabs>
          <w:tab w:val="center" w:pos="3780"/>
          <w:tab w:val="right" w:pos="7980"/>
        </w:tabs>
        <w:snapToGrid w:val="0"/>
        <w:spacing w:line="360" w:lineRule="auto"/>
        <w:jc w:val="both"/>
        <w:rPr>
          <w:rFonts w:ascii="Times New Roman" w:hAnsi="Times New Roman"/>
          <w:bCs/>
        </w:rPr>
      </w:pPr>
    </w:p>
    <w:p w14:paraId="1FA29701" w14:textId="77777777" w:rsidR="00E565B4" w:rsidRDefault="00000000">
      <w:pPr>
        <w:widowControl w:val="0"/>
        <w:spacing w:line="360" w:lineRule="auto"/>
        <w:jc w:val="center"/>
      </w:pPr>
      <w:r>
        <w:rPr>
          <w:rFonts w:hint="eastAsia"/>
          <w:noProof/>
        </w:rPr>
        <w:lastRenderedPageBreak/>
        <w:drawing>
          <wp:inline distT="0" distB="0" distL="114300" distR="114300" wp14:anchorId="1E33EA2B" wp14:editId="48AB2D65">
            <wp:extent cx="5039995" cy="5312410"/>
            <wp:effectExtent l="0" t="0" r="4445" b="6350"/>
            <wp:docPr id="7" name="图片 7" descr="Fig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ure 7-4"/>
                    <pic:cNvPicPr>
                      <a:picLocks noChangeAspect="1"/>
                    </pic:cNvPicPr>
                  </pic:nvPicPr>
                  <pic:blipFill>
                    <a:blip r:embed="rId18"/>
                    <a:stretch>
                      <a:fillRect/>
                    </a:stretch>
                  </pic:blipFill>
                  <pic:spPr>
                    <a:xfrm>
                      <a:off x="0" y="0"/>
                      <a:ext cx="5039995" cy="5312410"/>
                    </a:xfrm>
                    <a:prstGeom prst="rect">
                      <a:avLst/>
                    </a:prstGeom>
                  </pic:spPr>
                </pic:pic>
              </a:graphicData>
            </a:graphic>
          </wp:inline>
        </w:drawing>
      </w:r>
    </w:p>
    <w:p w14:paraId="3B87BC8F" w14:textId="77777777" w:rsidR="00E565B4" w:rsidRDefault="00000000">
      <w:pPr>
        <w:widowControl w:val="0"/>
        <w:spacing w:line="360" w:lineRule="auto"/>
        <w:jc w:val="both"/>
        <w:rPr>
          <w:rFonts w:ascii="Times New Roman" w:hAnsi="Times New Roman"/>
        </w:rPr>
      </w:pPr>
      <w:r>
        <w:rPr>
          <w:rFonts w:ascii="Times New Roman" w:hAnsi="Times New Roman" w:hint="eastAsia"/>
          <w:b/>
          <w:bCs/>
        </w:rPr>
        <w:t>Figure 5.</w:t>
      </w:r>
      <w:r>
        <w:rPr>
          <w:rFonts w:ascii="Times New Roman" w:hAnsi="Times New Roman" w:hint="eastAsia"/>
        </w:rPr>
        <w:t xml:space="preserve"> a) Imitation of learning-forgetting-relearning processes with the diamond optoelectronic synaptic device; </w:t>
      </w:r>
      <w:r>
        <w:rPr>
          <w:rFonts w:ascii="Times New Roman" w:hAnsi="Times New Roman" w:hint="eastAsia"/>
          <w:bCs/>
        </w:rPr>
        <w:t>b</w:t>
      </w:r>
      <w:r>
        <w:rPr>
          <w:rFonts w:ascii="Times New Roman" w:hAnsi="Times New Roman"/>
          <w:bCs/>
        </w:rPr>
        <w:t xml:space="preserve">) The schematic diagram of the </w:t>
      </w:r>
      <w:r>
        <w:rPr>
          <w:rFonts w:ascii="Times New Roman" w:hAnsi="Times New Roman" w:hint="eastAsia"/>
          <w:bCs/>
        </w:rPr>
        <w:t>laser</w:t>
      </w:r>
      <w:r>
        <w:rPr>
          <w:rFonts w:ascii="Times New Roman" w:hAnsi="Times New Roman"/>
          <w:bCs/>
        </w:rPr>
        <w:t xml:space="preserve"> communication system based on the </w:t>
      </w:r>
      <w:r>
        <w:rPr>
          <w:rFonts w:ascii="Times New Roman" w:hAnsi="Times New Roman" w:hint="eastAsia"/>
          <w:bCs/>
        </w:rPr>
        <w:t>diamond optoelectronic synap</w:t>
      </w:r>
      <w:r>
        <w:rPr>
          <w:rFonts w:ascii="Times New Roman" w:hAnsi="Times New Roman" w:hint="eastAsia"/>
        </w:rPr>
        <w:t>tic</w:t>
      </w:r>
      <w:r>
        <w:rPr>
          <w:rFonts w:ascii="Times New Roman" w:hAnsi="Times New Roman" w:hint="eastAsia"/>
          <w:bCs/>
        </w:rPr>
        <w:t xml:space="preserve"> device; c</w:t>
      </w:r>
      <w:r>
        <w:rPr>
          <w:rFonts w:ascii="Times New Roman" w:hAnsi="Times New Roman"/>
          <w:bCs/>
        </w:rPr>
        <w:t>) The sketch map of optical pulses with different widths which represent Morse code symbols (</w:t>
      </w:r>
      <w:r>
        <w:rPr>
          <w:rFonts w:ascii="Times New Roman" w:hAnsi="Times New Roman" w:hint="eastAsia"/>
          <w:bCs/>
        </w:rPr>
        <w:t>line</w:t>
      </w:r>
      <w:r>
        <w:rPr>
          <w:rFonts w:ascii="Times New Roman" w:hAnsi="Times New Roman"/>
          <w:bCs/>
        </w:rPr>
        <w:t xml:space="preserve"> and dot)</w:t>
      </w:r>
      <w:r>
        <w:rPr>
          <w:rFonts w:ascii="Times New Roman" w:hAnsi="Times New Roman" w:hint="eastAsia"/>
          <w:bCs/>
        </w:rPr>
        <w:t>; d</w:t>
      </w:r>
      <w:r>
        <w:rPr>
          <w:rFonts w:ascii="Times New Roman" w:hAnsi="Times New Roman"/>
          <w:bCs/>
        </w:rPr>
        <w:t xml:space="preserve">) The </w:t>
      </w:r>
      <w:r>
        <w:rPr>
          <w:rFonts w:ascii="Times New Roman" w:hAnsi="Times New Roman"/>
          <w:bCs/>
          <w:i/>
          <w:iCs/>
        </w:rPr>
        <w:t>I-t</w:t>
      </w:r>
      <w:r>
        <w:rPr>
          <w:rFonts w:ascii="Times New Roman" w:hAnsi="Times New Roman"/>
          <w:bCs/>
        </w:rPr>
        <w:t xml:space="preserve"> curve of the received signal is decoded by Morse code at the threshold value of </w:t>
      </w:r>
      <w:r>
        <w:rPr>
          <w:rFonts w:ascii="Times New Roman" w:hAnsi="Times New Roman" w:hint="eastAsia"/>
          <w:bCs/>
        </w:rPr>
        <w:t xml:space="preserve">12.5 </w:t>
      </w:r>
      <w:r>
        <w:rPr>
          <w:rFonts w:ascii="Times New Roman" w:hAnsi="Times New Roman"/>
          <w:bCs/>
        </w:rPr>
        <w:t xml:space="preserve">nA. </w:t>
      </w:r>
    </w:p>
    <w:p w14:paraId="61598074" w14:textId="77777777" w:rsidR="00E565B4" w:rsidRDefault="00000000">
      <w:pPr>
        <w:widowControl w:val="0"/>
        <w:spacing w:line="360" w:lineRule="auto"/>
        <w:jc w:val="both"/>
        <w:rPr>
          <w:rFonts w:ascii="Times New Roman" w:eastAsia="SimSun" w:hAnsi="Times New Roman"/>
          <w:bCs/>
        </w:rPr>
      </w:pPr>
      <w:r>
        <w:rPr>
          <w:rFonts w:ascii="Times New Roman" w:hAnsi="Times New Roman" w:hint="eastAsia"/>
        </w:rPr>
        <w:t xml:space="preserve">   Generally, learning-forgetting-relearning processes are the fundamental characteristics of a human brain, and these processes can be effectively trained with our diamond optoelectronic synaptic device. As presented in Figure 5a, 30 stimuli (</w:t>
      </w:r>
      <w:r>
        <w:rPr>
          <w:rFonts w:ascii="Times New Roman" w:hAnsi="Times New Roman" w:hint="eastAsia"/>
          <w:bCs/>
        </w:rPr>
        <w:t xml:space="preserve">wavelength: 405 nm, voltage: 5 V, pulse width: 5 s, light density: </w:t>
      </w:r>
      <w:r>
        <w:rPr>
          <w:rFonts w:ascii="Times New Roman" w:hAnsi="Times New Roman" w:hint="eastAsia"/>
        </w:rPr>
        <w:t>196.2 mW/cm</w:t>
      </w:r>
      <w:r>
        <w:rPr>
          <w:rFonts w:ascii="Times New Roman" w:hAnsi="Times New Roman" w:hint="eastAsia"/>
          <w:vertAlign w:val="superscript"/>
        </w:rPr>
        <w:t>2</w:t>
      </w:r>
      <w:r>
        <w:rPr>
          <w:rFonts w:ascii="Times New Roman" w:hAnsi="Times New Roman" w:hint="eastAsia"/>
        </w:rPr>
        <w:t xml:space="preserve">) are first used for the learning process and the synaptic weight increases from 0% to 100%. After that, the stimulus is stopped and the synaptic weight continuously decays from </w:t>
      </w:r>
      <w:r>
        <w:rPr>
          <w:rFonts w:ascii="Times New Roman" w:hAnsi="Times New Roman" w:hint="eastAsia"/>
        </w:rPr>
        <w:lastRenderedPageBreak/>
        <w:t xml:space="preserve">100% to 40% with a long forgetting time of 900 s, meaning a naturally loss of memory in human brain. However, if re-stimuli are operated when the information has not been completely forgotten, only 18 stimuli are required for recovering the memory from 40% to 100%. Similar to the human learning behavior, one does not need such a long time as that for the first memorized process when he/she reviews the knowledge. Taking the learning of classical poetry as an example, the contents are easily to be forgotten after the first reading. However, the memory can be solidly remembered if someone usually re-reads the poetry, the re-stimuli can effectively transfer the STM to the LTM. </w:t>
      </w:r>
      <w:r>
        <w:rPr>
          <w:rFonts w:ascii="Times New Roman" w:hAnsi="Times New Roman"/>
          <w:bCs/>
        </w:rPr>
        <w:t xml:space="preserve">A novel encryption method for </w:t>
      </w:r>
      <w:r>
        <w:rPr>
          <w:rFonts w:ascii="Times New Roman" w:hAnsi="Times New Roman" w:hint="eastAsia"/>
          <w:bCs/>
        </w:rPr>
        <w:t>optical</w:t>
      </w:r>
      <w:r>
        <w:rPr>
          <w:rFonts w:ascii="Times New Roman" w:hAnsi="Times New Roman"/>
          <w:bCs/>
        </w:rPr>
        <w:t xml:space="preserve"> communication</w:t>
      </w:r>
      <w:r>
        <w:rPr>
          <w:rFonts w:ascii="Times New Roman" w:hAnsi="Times New Roman" w:hint="eastAsia"/>
          <w:bCs/>
        </w:rPr>
        <w:t xml:space="preserve"> is also designed based on the diamond optoelectronic synap</w:t>
      </w:r>
      <w:r>
        <w:rPr>
          <w:rFonts w:ascii="Times New Roman" w:hAnsi="Times New Roman" w:hint="eastAsia"/>
        </w:rPr>
        <w:t>tic</w:t>
      </w:r>
      <w:r>
        <w:rPr>
          <w:rFonts w:ascii="Times New Roman" w:hAnsi="Times New Roman" w:hint="eastAsia"/>
          <w:bCs/>
        </w:rPr>
        <w:t xml:space="preserve"> device, in which three main components including sender (laser), transmission medium (free space), and receiver (diamond synapse device) are composed in the communication system</w:t>
      </w:r>
      <w:r>
        <w:rPr>
          <w:rFonts w:ascii="Times New Roman" w:hAnsi="Times New Roman" w:hint="eastAsia"/>
          <w:bCs/>
          <w:vertAlign w:val="superscript"/>
        </w:rPr>
        <w:t>[63]</w:t>
      </w:r>
      <w:r>
        <w:rPr>
          <w:rFonts w:ascii="Times New Roman" w:hAnsi="Times New Roman" w:hint="eastAsia"/>
          <w:bCs/>
        </w:rPr>
        <w:t>. Different from the optical-fiber communication, the visible laser communication system with divergent propagation of light in free space is featured with advantages including high-security, high-speed, low-consumption, and immunity of electromagnetic interference</w:t>
      </w:r>
      <w:r>
        <w:rPr>
          <w:rFonts w:ascii="Times New Roman" w:hAnsi="Times New Roman" w:hint="eastAsia"/>
          <w:bCs/>
          <w:vertAlign w:val="superscript"/>
        </w:rPr>
        <w:t>[64]</w:t>
      </w:r>
      <w:r>
        <w:rPr>
          <w:rFonts w:ascii="Times New Roman" w:hAnsi="Times New Roman" w:hint="eastAsia"/>
          <w:bCs/>
        </w:rPr>
        <w:t>. In Figure 5b, the schematic diagram of the laser communication system is presented, where a 405 nm laser with light density of 196.2 mW/cm</w:t>
      </w:r>
      <w:r>
        <w:rPr>
          <w:rFonts w:ascii="Times New Roman" w:hAnsi="Times New Roman" w:hint="eastAsia"/>
          <w:bCs/>
          <w:vertAlign w:val="superscript"/>
        </w:rPr>
        <w:t>2</w:t>
      </w:r>
      <w:r>
        <w:rPr>
          <w:rFonts w:ascii="Times New Roman" w:hAnsi="Times New Roman" w:hint="eastAsia"/>
          <w:bCs/>
        </w:rPr>
        <w:t xml:space="preserve"> plays as the information carrier and the diamond optoelectronic synap</w:t>
      </w:r>
      <w:r>
        <w:rPr>
          <w:rFonts w:ascii="Times New Roman" w:hAnsi="Times New Roman" w:hint="eastAsia"/>
        </w:rPr>
        <w:t>tic</w:t>
      </w:r>
      <w:r>
        <w:rPr>
          <w:rFonts w:ascii="Times New Roman" w:hAnsi="Times New Roman" w:hint="eastAsia"/>
          <w:bCs/>
        </w:rPr>
        <w:t xml:space="preserve"> device acts as the receiver. At the beginning, the information is encrypted through modulating the emission signal from the laser, and the light-wave attached with specific secret propagates through the air medium and then detected by the diamond optoelectronic synap</w:t>
      </w:r>
      <w:r>
        <w:rPr>
          <w:rFonts w:ascii="Times New Roman" w:hAnsi="Times New Roman" w:hint="eastAsia"/>
        </w:rPr>
        <w:t>tic</w:t>
      </w:r>
      <w:r>
        <w:rPr>
          <w:rFonts w:ascii="Times New Roman" w:hAnsi="Times New Roman" w:hint="eastAsia"/>
          <w:bCs/>
        </w:rPr>
        <w:t xml:space="preserve"> device at 5 V. In this case, the detected electrical signal is decoded with a predetermined way, the message decryption is not only relevant to the encoded approaches but also involved to the extra conditions. </w:t>
      </w:r>
      <w:r>
        <w:rPr>
          <w:rFonts w:ascii="Times New Roman" w:hAnsi="Times New Roman"/>
          <w:bCs/>
        </w:rPr>
        <w:t xml:space="preserve">As shown in Figure </w:t>
      </w:r>
      <w:r>
        <w:rPr>
          <w:rFonts w:ascii="Times New Roman" w:hAnsi="Times New Roman" w:hint="eastAsia"/>
          <w:bCs/>
        </w:rPr>
        <w:t>5c</w:t>
      </w:r>
      <w:r>
        <w:rPr>
          <w:rFonts w:ascii="Times New Roman" w:hAnsi="Times New Roman"/>
          <w:bCs/>
        </w:rPr>
        <w:t xml:space="preserve">, Morse code is adopted to encode the message, three sequential optical signals </w:t>
      </w:r>
      <w:r>
        <w:rPr>
          <w:rFonts w:ascii="Times New Roman" w:hAnsi="Times New Roman" w:hint="eastAsia"/>
          <w:bCs/>
        </w:rPr>
        <w:t xml:space="preserve">(pulse width = 10 s) </w:t>
      </w:r>
      <w:r>
        <w:rPr>
          <w:rFonts w:ascii="Times New Roman" w:hAnsi="Times New Roman"/>
          <w:bCs/>
        </w:rPr>
        <w:t xml:space="preserve">with </w:t>
      </w:r>
      <w:r>
        <w:rPr>
          <w:rFonts w:ascii="Times New Roman" w:hAnsi="Times New Roman" w:hint="eastAsia"/>
          <w:bCs/>
        </w:rPr>
        <w:t>interval of 30 s is set</w:t>
      </w:r>
      <w:r>
        <w:rPr>
          <w:rFonts w:ascii="Times New Roman" w:hAnsi="Times New Roman"/>
          <w:bCs/>
        </w:rPr>
        <w:t xml:space="preserve"> as a sign of “</w:t>
      </w:r>
      <w:r>
        <w:rPr>
          <w:rFonts w:ascii="Times New Roman" w:hAnsi="Times New Roman" w:hint="eastAsia"/>
          <w:bCs/>
        </w:rPr>
        <w:t>start</w:t>
      </w:r>
      <w:r>
        <w:rPr>
          <w:rFonts w:ascii="Times New Roman" w:hAnsi="Times New Roman"/>
          <w:bCs/>
        </w:rPr>
        <w:t>”</w:t>
      </w:r>
      <w:r>
        <w:rPr>
          <w:rFonts w:ascii="Times New Roman" w:hAnsi="Times New Roman" w:hint="eastAsia"/>
          <w:bCs/>
        </w:rPr>
        <w:t>. Then, o</w:t>
      </w:r>
      <w:r>
        <w:rPr>
          <w:rFonts w:ascii="Times New Roman" w:hAnsi="Times New Roman"/>
          <w:bCs/>
        </w:rPr>
        <w:t xml:space="preserve">ptical </w:t>
      </w:r>
      <w:r>
        <w:rPr>
          <w:rFonts w:ascii="Times New Roman" w:hAnsi="Times New Roman" w:hint="eastAsia"/>
          <w:bCs/>
        </w:rPr>
        <w:t>outputs</w:t>
      </w:r>
      <w:r>
        <w:rPr>
          <w:rFonts w:ascii="Times New Roman" w:hAnsi="Times New Roman"/>
          <w:bCs/>
        </w:rPr>
        <w:t xml:space="preserve"> with pulse widths of 2</w:t>
      </w:r>
      <w:r>
        <w:rPr>
          <w:rFonts w:ascii="Times New Roman" w:hAnsi="Times New Roman" w:hint="eastAsia"/>
          <w:bCs/>
        </w:rPr>
        <w:t>0</w:t>
      </w:r>
      <w:r>
        <w:rPr>
          <w:rFonts w:ascii="Times New Roman" w:hAnsi="Times New Roman"/>
          <w:bCs/>
        </w:rPr>
        <w:t xml:space="preserve"> s and 3</w:t>
      </w:r>
      <w:r>
        <w:rPr>
          <w:rFonts w:ascii="Times New Roman" w:hAnsi="Times New Roman" w:hint="eastAsia"/>
          <w:bCs/>
        </w:rPr>
        <w:t>0</w:t>
      </w:r>
      <w:r>
        <w:rPr>
          <w:rFonts w:ascii="Times New Roman" w:hAnsi="Times New Roman"/>
          <w:bCs/>
        </w:rPr>
        <w:t xml:space="preserve"> s </w:t>
      </w:r>
      <w:r>
        <w:rPr>
          <w:rFonts w:ascii="Times New Roman" w:hAnsi="Times New Roman" w:hint="eastAsia"/>
          <w:bCs/>
        </w:rPr>
        <w:t>represent</w:t>
      </w:r>
      <w:r>
        <w:rPr>
          <w:rFonts w:ascii="Times New Roman" w:hAnsi="Times New Roman"/>
          <w:bCs/>
        </w:rPr>
        <w:t xml:space="preserve"> as the symbols </w:t>
      </w:r>
      <w:r>
        <w:rPr>
          <w:rFonts w:ascii="Times New Roman" w:hAnsi="Times New Roman" w:hint="eastAsia"/>
          <w:bCs/>
        </w:rPr>
        <w:t>line</w:t>
      </w:r>
      <w:r>
        <w:rPr>
          <w:rFonts w:ascii="Times New Roman" w:hAnsi="Times New Roman"/>
          <w:bCs/>
        </w:rPr>
        <w:t xml:space="preserve"> “</w:t>
      </w:r>
      <w:r>
        <w:rPr>
          <w:rFonts w:ascii="Times New Roman" w:eastAsia="SimSun" w:hAnsi="Times New Roman"/>
          <w:b/>
        </w:rPr>
        <w:t>－</w:t>
      </w:r>
      <w:r>
        <w:rPr>
          <w:rFonts w:ascii="Times New Roman" w:hAnsi="Times New Roman"/>
          <w:bCs/>
        </w:rPr>
        <w:t>” and dot “</w:t>
      </w:r>
      <w:r>
        <w:rPr>
          <w:rFonts w:ascii="Times New Roman" w:hAnsi="Times New Roman"/>
          <w:b/>
        </w:rPr>
        <w:t>·</w:t>
      </w:r>
      <w:r>
        <w:rPr>
          <w:rFonts w:ascii="Times New Roman" w:hAnsi="Times New Roman"/>
          <w:bCs/>
        </w:rPr>
        <w:t>”, respectively</w:t>
      </w:r>
      <w:r>
        <w:rPr>
          <w:rFonts w:ascii="Times New Roman" w:hAnsi="Times New Roman" w:hint="eastAsia"/>
          <w:bCs/>
        </w:rPr>
        <w:t xml:space="preserve">. Owing to the LTP property of the device, the decay of EPSC to a specific value is controlled as the threshold value, corresponding to one attached requirement of the predetermined decoded way. Thus, the received waveform can be decoded into different messages by checking the threshold value, which greatly </w:t>
      </w:r>
      <w:r>
        <w:rPr>
          <w:rFonts w:ascii="Times New Roman" w:hAnsi="Times New Roman" w:hint="eastAsia"/>
          <w:bCs/>
        </w:rPr>
        <w:lastRenderedPageBreak/>
        <w:t xml:space="preserve">strengthens the confidentiality and security of the communication system. As shown in Figure 5d, when the decoder confirms the threshold value of 12.5 nA, symbols of </w:t>
      </w:r>
      <w:r>
        <w:rPr>
          <w:rFonts w:ascii="Times New Roman" w:hAnsi="Times New Roman"/>
          <w:bCs/>
        </w:rPr>
        <w:t>“</w:t>
      </w:r>
      <w:r>
        <w:rPr>
          <w:rFonts w:ascii="Times New Roman" w:eastAsia="SimSun" w:hAnsi="Times New Roman"/>
          <w:b/>
        </w:rPr>
        <w:t>－－－</w:t>
      </w:r>
      <w:r>
        <w:rPr>
          <w:rFonts w:ascii="Times New Roman" w:hAnsi="Times New Roman"/>
          <w:bCs/>
        </w:rPr>
        <w:t>”</w:t>
      </w:r>
      <w:r>
        <w:rPr>
          <w:rFonts w:ascii="Times New Roman" w:hAnsi="Times New Roman" w:hint="eastAsia"/>
          <w:bCs/>
        </w:rPr>
        <w:t xml:space="preserve">, </w:t>
      </w:r>
      <w:r>
        <w:rPr>
          <w:rFonts w:ascii="Times New Roman" w:hAnsi="Times New Roman"/>
          <w:bCs/>
        </w:rPr>
        <w:t>“</w:t>
      </w:r>
      <w:r>
        <w:rPr>
          <w:rFonts w:ascii="Times New Roman" w:hAnsi="Times New Roman"/>
          <w:b/>
        </w:rPr>
        <w:t>·</w:t>
      </w:r>
      <w:r>
        <w:rPr>
          <w:rFonts w:ascii="SimSun" w:eastAsia="SimSun" w:hAnsi="SimSun" w:cs="SimSun" w:hint="eastAsia"/>
          <w:b/>
        </w:rPr>
        <w:t>－</w:t>
      </w:r>
      <w:r>
        <w:rPr>
          <w:rFonts w:ascii="Times New Roman" w:hAnsi="Times New Roman"/>
          <w:b/>
        </w:rPr>
        <w:t>·</w:t>
      </w:r>
      <w:r>
        <w:rPr>
          <w:rFonts w:ascii="Times New Roman" w:eastAsia="SimSun" w:hAnsi="Times New Roman"/>
          <w:b/>
        </w:rPr>
        <w:t>－</w:t>
      </w:r>
      <w:r>
        <w:rPr>
          <w:rFonts w:ascii="Times New Roman" w:eastAsia="SimSun" w:hAnsi="Times New Roman"/>
          <w:bCs/>
        </w:rPr>
        <w:t>”</w:t>
      </w:r>
      <w:r>
        <w:rPr>
          <w:rFonts w:ascii="Times New Roman" w:eastAsia="SimSun" w:hAnsi="Times New Roman" w:hint="eastAsia"/>
          <w:bCs/>
        </w:rPr>
        <w:t xml:space="preserve">, </w:t>
      </w:r>
      <w:r>
        <w:rPr>
          <w:rFonts w:ascii="Times New Roman" w:hAnsi="Times New Roman"/>
          <w:bCs/>
        </w:rPr>
        <w:t>“</w:t>
      </w:r>
      <w:r>
        <w:rPr>
          <w:rFonts w:ascii="Times New Roman" w:hAnsi="Times New Roman"/>
          <w:b/>
        </w:rPr>
        <w:t>·</w:t>
      </w:r>
      <w:r>
        <w:rPr>
          <w:rFonts w:ascii="SimSun" w:eastAsia="SimSun" w:hAnsi="SimSun" w:cs="SimSun" w:hint="eastAsia"/>
          <w:b/>
        </w:rPr>
        <w:t>－</w:t>
      </w:r>
      <w:r>
        <w:rPr>
          <w:rFonts w:ascii="Times New Roman" w:eastAsia="SimSun" w:hAnsi="Times New Roman"/>
          <w:bCs/>
        </w:rPr>
        <w:t>”</w:t>
      </w:r>
      <w:r>
        <w:rPr>
          <w:rFonts w:ascii="Times New Roman" w:eastAsia="SimSun" w:hAnsi="Times New Roman" w:hint="eastAsia"/>
          <w:bCs/>
        </w:rPr>
        <w:t xml:space="preserve">, and </w:t>
      </w:r>
      <w:r>
        <w:rPr>
          <w:rFonts w:ascii="Times New Roman" w:hAnsi="Times New Roman"/>
          <w:bCs/>
        </w:rPr>
        <w:t>“</w:t>
      </w:r>
      <w:r>
        <w:rPr>
          <w:rFonts w:ascii="SimSun" w:eastAsia="SimSun" w:hAnsi="SimSun" w:cs="SimSun" w:hint="eastAsia"/>
          <w:b/>
        </w:rPr>
        <w:t>－－</w:t>
      </w:r>
      <w:r>
        <w:rPr>
          <w:rFonts w:ascii="Times New Roman" w:hAnsi="Times New Roman"/>
          <w:b/>
        </w:rPr>
        <w:t>·</w:t>
      </w:r>
      <w:r>
        <w:rPr>
          <w:rFonts w:ascii="Times New Roman" w:eastAsia="SimSun" w:hAnsi="Times New Roman"/>
          <w:bCs/>
        </w:rPr>
        <w:t>”</w:t>
      </w:r>
      <w:r>
        <w:rPr>
          <w:rFonts w:ascii="Times New Roman" w:eastAsia="SimSun" w:hAnsi="Times New Roman" w:hint="eastAsia"/>
          <w:bCs/>
        </w:rPr>
        <w:t xml:space="preserve"> can be successfully decoded into the letters of </w:t>
      </w:r>
      <w:r>
        <w:rPr>
          <w:rFonts w:ascii="Times New Roman" w:eastAsia="SimSun" w:hAnsi="Times New Roman"/>
          <w:bCs/>
        </w:rPr>
        <w:t>“</w:t>
      </w:r>
      <w:r>
        <w:rPr>
          <w:rFonts w:ascii="Times New Roman" w:eastAsia="SimSun" w:hAnsi="Times New Roman" w:hint="eastAsia"/>
          <w:bCs/>
        </w:rPr>
        <w:t>D</w:t>
      </w:r>
      <w:r>
        <w:rPr>
          <w:rFonts w:ascii="Times New Roman" w:eastAsia="SimSun" w:hAnsi="Times New Roman"/>
          <w:bCs/>
        </w:rPr>
        <w:t>”</w:t>
      </w:r>
      <w:r>
        <w:rPr>
          <w:rFonts w:ascii="Times New Roman" w:eastAsia="SimSun" w:hAnsi="Times New Roman" w:hint="eastAsia"/>
          <w:bCs/>
        </w:rPr>
        <w:t xml:space="preserve">, </w:t>
      </w:r>
      <w:r>
        <w:rPr>
          <w:rFonts w:ascii="Times New Roman" w:eastAsia="SimSun" w:hAnsi="Times New Roman"/>
          <w:bCs/>
        </w:rPr>
        <w:t>“</w:t>
      </w:r>
      <w:r>
        <w:rPr>
          <w:rFonts w:ascii="Times New Roman" w:eastAsia="SimSun" w:hAnsi="Times New Roman" w:hint="eastAsia"/>
          <w:bCs/>
        </w:rPr>
        <w:t>G</w:t>
      </w:r>
      <w:r>
        <w:rPr>
          <w:rFonts w:ascii="Times New Roman" w:eastAsia="SimSun" w:hAnsi="Times New Roman"/>
          <w:bCs/>
        </w:rPr>
        <w:t>”</w:t>
      </w:r>
      <w:r>
        <w:rPr>
          <w:rFonts w:ascii="Times New Roman" w:eastAsia="SimSun" w:hAnsi="Times New Roman" w:hint="eastAsia"/>
          <w:bCs/>
        </w:rPr>
        <w:t xml:space="preserve">, </w:t>
      </w:r>
      <w:r>
        <w:rPr>
          <w:rFonts w:ascii="Times New Roman" w:eastAsia="SimSun" w:hAnsi="Times New Roman"/>
          <w:bCs/>
        </w:rPr>
        <w:t>“</w:t>
      </w:r>
      <w:r>
        <w:rPr>
          <w:rFonts w:ascii="Times New Roman" w:eastAsia="SimSun" w:hAnsi="Times New Roman" w:hint="eastAsia"/>
          <w:bCs/>
        </w:rPr>
        <w:t>U</w:t>
      </w:r>
      <w:r>
        <w:rPr>
          <w:rFonts w:ascii="Times New Roman" w:eastAsia="SimSun" w:hAnsi="Times New Roman"/>
          <w:bCs/>
        </w:rPr>
        <w:t>”</w:t>
      </w:r>
      <w:r>
        <w:rPr>
          <w:rFonts w:ascii="Times New Roman" w:eastAsia="SimSun" w:hAnsi="Times New Roman" w:hint="eastAsia"/>
          <w:bCs/>
        </w:rPr>
        <w:t xml:space="preserve">, and </w:t>
      </w:r>
      <w:r>
        <w:rPr>
          <w:rFonts w:ascii="Times New Roman" w:eastAsia="SimSun" w:hAnsi="Times New Roman"/>
          <w:bCs/>
        </w:rPr>
        <w:t>“</w:t>
      </w:r>
      <w:r>
        <w:rPr>
          <w:rFonts w:ascii="Times New Roman" w:eastAsia="SimSun" w:hAnsi="Times New Roman" w:hint="eastAsia"/>
          <w:bCs/>
        </w:rPr>
        <w:t>T</w:t>
      </w:r>
      <w:r>
        <w:rPr>
          <w:rFonts w:ascii="Times New Roman" w:eastAsia="SimSun" w:hAnsi="Times New Roman"/>
          <w:bCs/>
        </w:rPr>
        <w:t>”</w:t>
      </w:r>
      <w:r>
        <w:rPr>
          <w:rFonts w:ascii="Times New Roman" w:eastAsia="SimSun" w:hAnsi="Times New Roman" w:hint="eastAsia"/>
          <w:bCs/>
        </w:rPr>
        <w:t xml:space="preserve">, respectively. The whole process adds a lock on the received waveform, the accurate message can be decoded only if the interceptor knows the right key. In future, the enhancement of confidentiality can be further strengthened with additional thresholds through partitioning different recovery times. </w:t>
      </w:r>
    </w:p>
    <w:p w14:paraId="41A1DF6C" w14:textId="77777777" w:rsidR="00E565B4" w:rsidRDefault="00E565B4">
      <w:pPr>
        <w:widowControl w:val="0"/>
        <w:spacing w:line="360" w:lineRule="auto"/>
        <w:jc w:val="both"/>
        <w:rPr>
          <w:rFonts w:ascii="Times New Roman" w:hAnsi="Times New Roman"/>
          <w:bCs/>
        </w:rPr>
      </w:pPr>
    </w:p>
    <w:p w14:paraId="7A0500AE" w14:textId="77777777" w:rsidR="00E565B4" w:rsidRDefault="00000000">
      <w:pPr>
        <w:widowControl w:val="0"/>
        <w:spacing w:line="360" w:lineRule="auto"/>
        <w:jc w:val="both"/>
        <w:rPr>
          <w:rFonts w:ascii="Times New Roman" w:hAnsi="Times New Roman"/>
          <w:b/>
          <w:sz w:val="28"/>
          <w:szCs w:val="28"/>
        </w:rPr>
      </w:pPr>
      <w:r>
        <w:rPr>
          <w:rFonts w:ascii="Times New Roman" w:hAnsi="Times New Roman"/>
          <w:b/>
          <w:sz w:val="28"/>
          <w:szCs w:val="28"/>
        </w:rPr>
        <w:t>3</w:t>
      </w:r>
      <w:r>
        <w:rPr>
          <w:rFonts w:ascii="Times New Roman" w:hAnsi="Times New Roman" w:hint="eastAsia"/>
          <w:b/>
          <w:sz w:val="28"/>
          <w:szCs w:val="28"/>
        </w:rPr>
        <w:t>.</w:t>
      </w:r>
      <w:r>
        <w:rPr>
          <w:rFonts w:ascii="Times New Roman" w:hAnsi="Times New Roman"/>
          <w:b/>
          <w:sz w:val="28"/>
          <w:szCs w:val="28"/>
        </w:rPr>
        <w:t xml:space="preserve"> Conclusion</w:t>
      </w:r>
    </w:p>
    <w:p w14:paraId="2CF81A3C" w14:textId="77777777" w:rsidR="00E565B4" w:rsidRDefault="00000000">
      <w:pPr>
        <w:widowControl w:val="0"/>
        <w:spacing w:line="360" w:lineRule="auto"/>
        <w:ind w:firstLineChars="100" w:firstLine="240"/>
        <w:jc w:val="both"/>
        <w:rPr>
          <w:rFonts w:ascii="Times New Roman" w:hAnsi="Times New Roman"/>
        </w:rPr>
      </w:pPr>
      <w:r>
        <w:rPr>
          <w:rFonts w:ascii="Times New Roman" w:hAnsi="Times New Roman" w:hint="eastAsia"/>
          <w:bCs/>
        </w:rPr>
        <w:t xml:space="preserve">In summary, a two-terminal device based on poly-crystal diamond with two symmetry ITO electrodes has been proposed, which integrates multiple functions containing optical sensing, synaptic features, and security optical communication. The fundamental properties of the as-prepared poly-crystal diamond are systematically studied, which verifies abundant defects such as </w:t>
      </w:r>
      <w:r>
        <w:rPr>
          <w:rFonts w:ascii="Times New Roman" w:hAnsi="Times New Roman" w:hint="eastAsia"/>
          <w:bCs/>
          <w:color w:val="000000" w:themeColor="text1"/>
        </w:rPr>
        <w:t xml:space="preserve">grain boundary, NV color center, C vacancy, and graphite phase. The deep trapped levels bring a PPC behavior, which is regarded as the origin of </w:t>
      </w:r>
      <w:r>
        <w:rPr>
          <w:rFonts w:ascii="Times New Roman" w:hAnsi="Times New Roman" w:hint="eastAsia"/>
        </w:rPr>
        <w:t>photosensitive memristor and synaptic functions.   Subsequently, emergence of synaptic plasticities including STP (STM), LTP (LTM), and PPF features, as well as learning-forgetting behavior have been successfully demonstrated. This underscores the importance of harnessing the below gap absorption capabilities of the poly-crystal diamond in the design of optoelectronic synapse. Finally, an encryption strategy is proposed which capitalizes on the synaptic functions, providing a new way toward the security of optical communication.</w:t>
      </w:r>
    </w:p>
    <w:p w14:paraId="45132F90" w14:textId="77777777" w:rsidR="00E565B4" w:rsidRDefault="00E565B4">
      <w:pPr>
        <w:widowControl w:val="0"/>
        <w:spacing w:line="360" w:lineRule="auto"/>
        <w:ind w:firstLineChars="100" w:firstLine="240"/>
        <w:jc w:val="both"/>
        <w:rPr>
          <w:rFonts w:ascii="Times New Roman" w:hAnsi="Times New Roman"/>
          <w:bCs/>
        </w:rPr>
      </w:pPr>
    </w:p>
    <w:p w14:paraId="0C1470E5" w14:textId="77777777" w:rsidR="00E565B4" w:rsidRDefault="00000000">
      <w:pPr>
        <w:widowControl w:val="0"/>
        <w:spacing w:line="360" w:lineRule="auto"/>
        <w:jc w:val="both"/>
        <w:rPr>
          <w:rFonts w:ascii="Times New Roman" w:hAnsi="Times New Roman"/>
          <w:b/>
          <w:sz w:val="28"/>
          <w:szCs w:val="28"/>
        </w:rPr>
      </w:pPr>
      <w:r>
        <w:rPr>
          <w:rFonts w:ascii="Times New Roman" w:hAnsi="Times New Roman"/>
          <w:b/>
          <w:sz w:val="28"/>
          <w:szCs w:val="28"/>
        </w:rPr>
        <w:t>4</w:t>
      </w:r>
      <w:r>
        <w:rPr>
          <w:rFonts w:ascii="Times New Roman" w:hAnsi="Times New Roman" w:hint="eastAsia"/>
          <w:b/>
          <w:sz w:val="28"/>
          <w:szCs w:val="28"/>
        </w:rPr>
        <w:t>.</w:t>
      </w:r>
      <w:r>
        <w:rPr>
          <w:rFonts w:ascii="Times New Roman" w:hAnsi="Times New Roman"/>
          <w:b/>
          <w:sz w:val="28"/>
          <w:szCs w:val="28"/>
        </w:rPr>
        <w:t xml:space="preserve"> Experimental Section</w:t>
      </w:r>
    </w:p>
    <w:p w14:paraId="073BC2E8" w14:textId="77777777" w:rsidR="00E565B4" w:rsidRDefault="00000000">
      <w:pPr>
        <w:widowControl w:val="0"/>
        <w:spacing w:line="360" w:lineRule="auto"/>
        <w:ind w:firstLineChars="100" w:firstLine="240"/>
        <w:jc w:val="both"/>
        <w:rPr>
          <w:rFonts w:ascii="Times New Roman" w:hAnsi="Times New Roman"/>
          <w:bCs/>
        </w:rPr>
      </w:pPr>
      <w:r>
        <w:rPr>
          <w:rFonts w:ascii="Times New Roman" w:hAnsi="Times New Roman" w:hint="eastAsia"/>
          <w:bCs/>
          <w:i/>
          <w:iCs/>
        </w:rPr>
        <w:t>Preparation</w:t>
      </w:r>
      <w:r>
        <w:rPr>
          <w:rFonts w:ascii="Times New Roman" w:hAnsi="Times New Roman"/>
          <w:bCs/>
          <w:i/>
          <w:iCs/>
        </w:rPr>
        <w:t xml:space="preserve"> of </w:t>
      </w:r>
      <w:r>
        <w:rPr>
          <w:rFonts w:ascii="Times New Roman" w:hAnsi="Times New Roman" w:hint="eastAsia"/>
          <w:bCs/>
          <w:i/>
          <w:iCs/>
        </w:rPr>
        <w:t>P</w:t>
      </w:r>
      <w:r>
        <w:rPr>
          <w:rFonts w:ascii="Times New Roman" w:hAnsi="Times New Roman"/>
          <w:bCs/>
          <w:i/>
          <w:iCs/>
        </w:rPr>
        <w:t>oly</w:t>
      </w:r>
      <w:r>
        <w:rPr>
          <w:rFonts w:ascii="Times New Roman" w:hAnsi="Times New Roman" w:hint="eastAsia"/>
          <w:bCs/>
          <w:i/>
          <w:iCs/>
        </w:rPr>
        <w:t>-</w:t>
      </w:r>
      <w:r>
        <w:rPr>
          <w:rFonts w:ascii="Times New Roman" w:hAnsi="Times New Roman"/>
          <w:bCs/>
          <w:i/>
          <w:iCs/>
        </w:rPr>
        <w:t xml:space="preserve">crystal </w:t>
      </w:r>
      <w:r>
        <w:rPr>
          <w:rFonts w:ascii="Times New Roman" w:hAnsi="Times New Roman" w:hint="eastAsia"/>
          <w:bCs/>
          <w:i/>
          <w:iCs/>
        </w:rPr>
        <w:t>D</w:t>
      </w:r>
      <w:r>
        <w:rPr>
          <w:rFonts w:ascii="Times New Roman" w:hAnsi="Times New Roman"/>
          <w:bCs/>
          <w:i/>
          <w:iCs/>
        </w:rPr>
        <w:t>iamond</w:t>
      </w:r>
      <w:r>
        <w:rPr>
          <w:rFonts w:ascii="Times New Roman" w:hAnsi="Times New Roman" w:hint="eastAsia"/>
          <w:bCs/>
          <w:i/>
          <w:iCs/>
        </w:rPr>
        <w:t xml:space="preserve">: </w:t>
      </w:r>
      <w:r>
        <w:rPr>
          <w:rFonts w:ascii="Times New Roman" w:hAnsi="Times New Roman" w:hint="eastAsia"/>
          <w:bCs/>
        </w:rPr>
        <w:t>The p</w:t>
      </w:r>
      <w:r>
        <w:rPr>
          <w:rFonts w:ascii="Times New Roman" w:hAnsi="Times New Roman"/>
          <w:bCs/>
        </w:rPr>
        <w:t>oly</w:t>
      </w:r>
      <w:r>
        <w:rPr>
          <w:rFonts w:ascii="Times New Roman" w:hAnsi="Times New Roman" w:hint="eastAsia"/>
          <w:bCs/>
        </w:rPr>
        <w:t>-</w:t>
      </w:r>
      <w:r>
        <w:rPr>
          <w:rFonts w:ascii="Times New Roman" w:hAnsi="Times New Roman"/>
          <w:bCs/>
        </w:rPr>
        <w:t xml:space="preserve">crystal diamond film </w:t>
      </w:r>
      <w:r>
        <w:rPr>
          <w:rFonts w:ascii="Times New Roman" w:hAnsi="Times New Roman" w:hint="eastAsia"/>
          <w:bCs/>
        </w:rPr>
        <w:t>was</w:t>
      </w:r>
      <w:r>
        <w:rPr>
          <w:rFonts w:ascii="Times New Roman" w:hAnsi="Times New Roman"/>
          <w:bCs/>
        </w:rPr>
        <w:t xml:space="preserve"> grown on </w:t>
      </w:r>
      <w:r>
        <w:rPr>
          <w:rFonts w:ascii="Times New Roman" w:hAnsi="Times New Roman" w:hint="eastAsia"/>
          <w:bCs/>
        </w:rPr>
        <w:t>2-inch</w:t>
      </w:r>
      <w:r>
        <w:rPr>
          <w:rFonts w:ascii="Times New Roman" w:hAnsi="Times New Roman"/>
          <w:bCs/>
        </w:rPr>
        <w:t xml:space="preserve"> Si (100)</w:t>
      </w:r>
      <w:r>
        <w:rPr>
          <w:rFonts w:ascii="Times New Roman" w:hAnsi="Times New Roman" w:hint="eastAsia"/>
          <w:bCs/>
        </w:rPr>
        <w:t xml:space="preserve"> substrate using a microwave plasma chemical vapor deposition (MPCVD, UNIPLASMA Co. Ltd., UP-510) system. The Si substrate was placed on a tray which locates inside the chamber. During the growth, the flow rates of hydrogen, methane, nitrogen, and oxygen were set as 500, 25, 100, and 50 sccm, respectively. The </w:t>
      </w:r>
      <w:r>
        <w:rPr>
          <w:rFonts w:ascii="Times New Roman" w:hAnsi="Times New Roman" w:hint="eastAsia"/>
          <w:bCs/>
        </w:rPr>
        <w:lastRenderedPageBreak/>
        <w:t xml:space="preserve">microwave power was maintained at 5000 W and the grown temperature was 850 </w:t>
      </w:r>
      <w:r>
        <w:rPr>
          <w:rFonts w:ascii="Times New Roman" w:hAnsi="Times New Roman" w:hint="eastAsia"/>
          <w:bCs/>
          <w:vertAlign w:val="superscript"/>
        </w:rPr>
        <w:t>o</w:t>
      </w:r>
      <w:r>
        <w:rPr>
          <w:rFonts w:ascii="Times New Roman" w:hAnsi="Times New Roman" w:hint="eastAsia"/>
          <w:bCs/>
        </w:rPr>
        <w:t xml:space="preserve">C. The thickness of the as-grown poly-crystal diamond film layer was measured as ~340 </w:t>
      </w:r>
      <w:r>
        <w:rPr>
          <w:rFonts w:ascii="Times New Roman" w:hAnsi="Times New Roman"/>
          <w:bCs/>
        </w:rPr>
        <w:t>μ</w:t>
      </w:r>
      <w:r>
        <w:rPr>
          <w:rFonts w:ascii="Times New Roman" w:hAnsi="Times New Roman" w:hint="eastAsia"/>
          <w:bCs/>
        </w:rPr>
        <w:t>m. After the deposition, the Si substrate was completely etched with acid solution (HF + HNO</w:t>
      </w:r>
      <w:r>
        <w:rPr>
          <w:rFonts w:ascii="Times New Roman" w:hAnsi="Times New Roman" w:hint="eastAsia"/>
          <w:bCs/>
          <w:vertAlign w:val="subscript"/>
        </w:rPr>
        <w:t>3</w:t>
      </w:r>
      <w:r>
        <w:rPr>
          <w:rFonts w:ascii="Times New Roman" w:hAnsi="Times New Roman" w:hint="eastAsia"/>
          <w:bCs/>
        </w:rPr>
        <w:t>), then a free-standing poly-crystal diamond sample was obtained.</w:t>
      </w:r>
    </w:p>
    <w:p w14:paraId="1AB0FD39" w14:textId="77777777" w:rsidR="00E565B4" w:rsidRDefault="00000000">
      <w:pPr>
        <w:widowControl w:val="0"/>
        <w:spacing w:line="360" w:lineRule="auto"/>
        <w:ind w:firstLineChars="100" w:firstLine="240"/>
        <w:jc w:val="both"/>
        <w:rPr>
          <w:rFonts w:ascii="Times New Roman" w:hAnsi="Times New Roman"/>
          <w:bCs/>
        </w:rPr>
      </w:pPr>
      <w:r>
        <w:rPr>
          <w:rFonts w:ascii="Times New Roman" w:hAnsi="Times New Roman"/>
          <w:bCs/>
          <w:i/>
          <w:iCs/>
        </w:rPr>
        <w:t>Characterizations</w:t>
      </w:r>
      <w:r>
        <w:rPr>
          <w:rFonts w:ascii="Times New Roman" w:hAnsi="Times New Roman" w:hint="eastAsia"/>
          <w:bCs/>
          <w:i/>
          <w:iCs/>
        </w:rPr>
        <w:t xml:space="preserve">: </w:t>
      </w:r>
      <w:r>
        <w:rPr>
          <w:rFonts w:ascii="Times New Roman" w:hAnsi="Times New Roman" w:hint="eastAsia"/>
          <w:bCs/>
        </w:rPr>
        <w:t>The crystal nature of the as-prepared diamond sample was measured by X-ray diffraction (XRD) equipped</w:t>
      </w:r>
      <w:r>
        <w:rPr>
          <w:rFonts w:ascii="Times New Roman" w:hAnsi="Times New Roman"/>
          <w:bCs/>
        </w:rPr>
        <w:t xml:space="preserve"> with Cu target (K</w:t>
      </w:r>
      <w:r>
        <w:rPr>
          <w:rFonts w:ascii="Times New Roman" w:hAnsi="Times New Roman"/>
          <w:bCs/>
          <w:vertAlign w:val="subscript"/>
        </w:rPr>
        <w:t>α</w:t>
      </w:r>
      <w:r>
        <w:rPr>
          <w:rFonts w:ascii="Times New Roman" w:hAnsi="Times New Roman"/>
          <w:bCs/>
        </w:rPr>
        <w:t xml:space="preserve"> line of 0.154 nm). </w:t>
      </w:r>
      <w:r>
        <w:rPr>
          <w:rFonts w:ascii="Times New Roman" w:hAnsi="Times New Roman" w:hint="eastAsia"/>
          <w:bCs/>
        </w:rPr>
        <w:t>Wide range absorption spectrum from 1700 nm to 200 nm was tested in order to clarify the absorption property of the as-prepared diamond sample. Thermogravimetric analysis (TGA) and differential scanning calorimetry (DSC) were employed to study the thermal characteristics. The temperature-dependent PL spectra were measured with a 325 nm laser as excited source. The phonon vibration of the as-prepared diamond sample was investigated by temperature-dependent Raman spectra with 633 nm laser as excitation. The chemical states of different elements were studied by X-ray photoelectron spectroscopy (XPS) and energy dispersive spectroscopy (EDS). The microstructure of the as-prepared diamond sample was investigated by transmission electron microscope (TEM), high resolution TEM (HRTEM), and selected area electron diffraction (SAED), and the cross-sectional lamella was fabricated by focused ion beam (FIB).</w:t>
      </w:r>
    </w:p>
    <w:p w14:paraId="12EF3D5D" w14:textId="77777777" w:rsidR="00E565B4" w:rsidRDefault="00000000">
      <w:pPr>
        <w:widowControl w:val="0"/>
        <w:spacing w:line="360" w:lineRule="auto"/>
        <w:ind w:firstLineChars="100" w:firstLine="240"/>
        <w:jc w:val="both"/>
        <w:rPr>
          <w:bCs/>
        </w:rPr>
      </w:pPr>
      <w:r>
        <w:rPr>
          <w:rFonts w:ascii="Times New Roman" w:hAnsi="Times New Roman"/>
          <w:bCs/>
          <w:i/>
          <w:iCs/>
        </w:rPr>
        <w:t xml:space="preserve">Device </w:t>
      </w:r>
      <w:r>
        <w:rPr>
          <w:rFonts w:ascii="Times New Roman" w:hAnsi="Times New Roman" w:hint="eastAsia"/>
          <w:bCs/>
          <w:i/>
          <w:iCs/>
        </w:rPr>
        <w:t>F</w:t>
      </w:r>
      <w:r>
        <w:rPr>
          <w:rFonts w:ascii="Times New Roman" w:hAnsi="Times New Roman"/>
          <w:bCs/>
          <w:i/>
          <w:iCs/>
        </w:rPr>
        <w:t xml:space="preserve">abrication and </w:t>
      </w:r>
      <w:r>
        <w:rPr>
          <w:rFonts w:ascii="Times New Roman" w:hAnsi="Times New Roman" w:hint="eastAsia"/>
          <w:bCs/>
          <w:i/>
          <w:iCs/>
        </w:rPr>
        <w:t>M</w:t>
      </w:r>
      <w:r>
        <w:rPr>
          <w:rFonts w:ascii="Times New Roman" w:hAnsi="Times New Roman"/>
          <w:bCs/>
          <w:i/>
          <w:iCs/>
        </w:rPr>
        <w:t>easurements</w:t>
      </w:r>
      <w:r>
        <w:rPr>
          <w:rFonts w:ascii="Times New Roman" w:hAnsi="Times New Roman" w:hint="eastAsia"/>
          <w:bCs/>
          <w:i/>
          <w:iCs/>
        </w:rPr>
        <w:t>:</w:t>
      </w:r>
      <w:r>
        <w:rPr>
          <w:rFonts w:ascii="Times New Roman" w:hAnsi="Times New Roman" w:hint="eastAsia"/>
          <w:b/>
        </w:rPr>
        <w:t xml:space="preserve"> </w:t>
      </w:r>
      <w:r>
        <w:rPr>
          <w:rFonts w:ascii="Times New Roman" w:hAnsi="Times New Roman" w:hint="eastAsia"/>
          <w:bCs/>
        </w:rPr>
        <w:t xml:space="preserve">The ITO-Diamond-ITO structural device was fabricated through a simple electrode deposition process. Symmetric ITO electrode pair was pulse laser deposited onto the surface of the poly-crystal diamond with a hard mask. The thickness of </w:t>
      </w:r>
      <w:r>
        <w:rPr>
          <w:rFonts w:ascii="Times New Roman" w:hAnsi="Times New Roman"/>
          <w:bCs/>
        </w:rPr>
        <w:t>the ITO was ~50 nm, and the channel width between two ITO electrodes was 50 μm. During the measurement of the optoelectronic synaptic characteristics, 405, 520, and 635 nm lasers with tunable optical densities were adopted as optical sources, the semiconductor source meter was employed to supply the bias and collect the photo-generated electrical signals. During the laser communication</w:t>
      </w:r>
      <w:r>
        <w:rPr>
          <w:rFonts w:ascii="Times New Roman" w:hAnsi="Times New Roman" w:hint="eastAsia"/>
          <w:bCs/>
        </w:rPr>
        <w:t xml:space="preserve"> experiment</w:t>
      </w:r>
      <w:r>
        <w:rPr>
          <w:rFonts w:ascii="Times New Roman" w:hAnsi="Times New Roman"/>
          <w:bCs/>
        </w:rPr>
        <w:t xml:space="preserve">, only 405 nm laser </w:t>
      </w:r>
      <w:r>
        <w:rPr>
          <w:rFonts w:ascii="Times New Roman" w:hAnsi="Times New Roman" w:hint="eastAsia"/>
          <w:bCs/>
        </w:rPr>
        <w:t>was</w:t>
      </w:r>
      <w:r>
        <w:rPr>
          <w:rFonts w:ascii="Times New Roman" w:hAnsi="Times New Roman"/>
          <w:bCs/>
        </w:rPr>
        <w:t xml:space="preserve"> used.</w:t>
      </w:r>
    </w:p>
    <w:p w14:paraId="7F11E176" w14:textId="77777777" w:rsidR="00E565B4" w:rsidRDefault="00E565B4">
      <w:pPr>
        <w:widowControl w:val="0"/>
        <w:spacing w:line="360" w:lineRule="auto"/>
        <w:jc w:val="both"/>
        <w:rPr>
          <w:rFonts w:ascii="Times New Roman" w:hAnsi="Times New Roman"/>
          <w:bCs/>
        </w:rPr>
      </w:pPr>
    </w:p>
    <w:p w14:paraId="6C037369" w14:textId="77777777" w:rsidR="00E565B4" w:rsidRDefault="00000000">
      <w:pPr>
        <w:widowControl w:val="0"/>
        <w:spacing w:line="360" w:lineRule="auto"/>
        <w:jc w:val="both"/>
        <w:rPr>
          <w:rFonts w:ascii="Times New Roman" w:hAnsi="Times New Roman"/>
          <w:b/>
          <w:sz w:val="28"/>
          <w:szCs w:val="28"/>
        </w:rPr>
      </w:pPr>
      <w:r>
        <w:rPr>
          <w:rFonts w:ascii="Times New Roman" w:hAnsi="Times New Roman"/>
          <w:b/>
          <w:sz w:val="28"/>
          <w:szCs w:val="28"/>
        </w:rPr>
        <w:t>Acknowledgements</w:t>
      </w:r>
    </w:p>
    <w:p w14:paraId="5B6F739C" w14:textId="77777777" w:rsidR="00E565B4" w:rsidRDefault="00000000">
      <w:pPr>
        <w:widowControl w:val="0"/>
        <w:spacing w:line="360" w:lineRule="auto"/>
        <w:jc w:val="both"/>
        <w:rPr>
          <w:rFonts w:ascii="Times New Roman" w:hAnsi="Times New Roman"/>
          <w:bCs/>
        </w:rPr>
      </w:pPr>
      <w:r>
        <w:rPr>
          <w:rFonts w:ascii="Times New Roman" w:hAnsi="Times New Roman"/>
          <w:bCs/>
        </w:rPr>
        <w:lastRenderedPageBreak/>
        <w:t>This work was financially supported by the National Natural Science</w:t>
      </w:r>
      <w:r>
        <w:rPr>
          <w:rFonts w:ascii="Times New Roman" w:hAnsi="Times New Roman" w:hint="eastAsia"/>
          <w:bCs/>
        </w:rPr>
        <w:t xml:space="preserve"> </w:t>
      </w:r>
      <w:r>
        <w:rPr>
          <w:rFonts w:ascii="Times New Roman" w:hAnsi="Times New Roman"/>
          <w:bCs/>
        </w:rPr>
        <w:t xml:space="preserve">Foundation of China (No. 52172149), </w:t>
      </w:r>
      <w:r>
        <w:rPr>
          <w:rFonts w:ascii="Times New Roman" w:hAnsi="Times New Roman" w:hint="eastAsia"/>
        </w:rPr>
        <w:t xml:space="preserve">State Key Laboratory of Silicon and Advanced Semiconductor Materials Opening Funding (SKL2025-08), </w:t>
      </w:r>
      <w:r>
        <w:rPr>
          <w:rFonts w:ascii="Times New Roman" w:hAnsi="Times New Roman"/>
          <w:bCs/>
        </w:rPr>
        <w:t>as well as the Guangdong Provincial Key Laboratory</w:t>
      </w:r>
      <w:r>
        <w:rPr>
          <w:rFonts w:ascii="Times New Roman" w:hAnsi="Times New Roman" w:hint="eastAsia"/>
          <w:bCs/>
        </w:rPr>
        <w:t xml:space="preserve"> </w:t>
      </w:r>
      <w:r>
        <w:rPr>
          <w:rFonts w:ascii="Times New Roman" w:hAnsi="Times New Roman"/>
          <w:bCs/>
        </w:rPr>
        <w:t>Project (High-Performance Integrated Circuits and Systems Laboratory,</w:t>
      </w:r>
      <w:r>
        <w:rPr>
          <w:rFonts w:ascii="Times New Roman" w:hAnsi="Times New Roman" w:hint="eastAsia"/>
          <w:bCs/>
        </w:rPr>
        <w:t xml:space="preserve"> </w:t>
      </w:r>
      <w:r>
        <w:rPr>
          <w:rFonts w:ascii="Times New Roman" w:hAnsi="Times New Roman"/>
          <w:bCs/>
        </w:rPr>
        <w:t xml:space="preserve">No. 2023KSYS003). The </w:t>
      </w:r>
      <w:r>
        <w:rPr>
          <w:rFonts w:ascii="Times New Roman" w:hAnsi="Times New Roman" w:hint="eastAsia"/>
          <w:bCs/>
        </w:rPr>
        <w:t xml:space="preserve">XRD and </w:t>
      </w:r>
      <w:r>
        <w:rPr>
          <w:rFonts w:ascii="Times New Roman" w:hAnsi="Times New Roman"/>
          <w:bCs/>
        </w:rPr>
        <w:t>XPS data were obtained using equipment</w:t>
      </w:r>
      <w:r>
        <w:rPr>
          <w:rFonts w:ascii="Times New Roman" w:hAnsi="Times New Roman" w:hint="eastAsia"/>
          <w:bCs/>
        </w:rPr>
        <w:t xml:space="preserve"> </w:t>
      </w:r>
      <w:r>
        <w:rPr>
          <w:rFonts w:ascii="Times New Roman" w:hAnsi="Times New Roman"/>
          <w:bCs/>
        </w:rPr>
        <w:t>maintained Dongguan University of Technology Analytical and Testing</w:t>
      </w:r>
      <w:r>
        <w:rPr>
          <w:rFonts w:ascii="Times New Roman" w:hAnsi="Times New Roman" w:hint="eastAsia"/>
          <w:bCs/>
        </w:rPr>
        <w:t xml:space="preserve"> </w:t>
      </w:r>
      <w:r>
        <w:rPr>
          <w:rFonts w:ascii="Times New Roman" w:hAnsi="Times New Roman"/>
          <w:bCs/>
        </w:rPr>
        <w:t>Center.</w:t>
      </w:r>
    </w:p>
    <w:p w14:paraId="5DB31A3C" w14:textId="77777777" w:rsidR="00E565B4" w:rsidRDefault="00E565B4">
      <w:pPr>
        <w:widowControl w:val="0"/>
        <w:spacing w:line="360" w:lineRule="auto"/>
        <w:jc w:val="both"/>
        <w:rPr>
          <w:rFonts w:ascii="Times New Roman" w:hAnsi="Times New Roman"/>
          <w:bCs/>
        </w:rPr>
      </w:pPr>
    </w:p>
    <w:p w14:paraId="3B026596" w14:textId="77777777" w:rsidR="00E565B4" w:rsidRDefault="00000000">
      <w:pPr>
        <w:widowControl w:val="0"/>
        <w:spacing w:line="360" w:lineRule="auto"/>
        <w:jc w:val="both"/>
        <w:rPr>
          <w:rFonts w:ascii="Times New Roman" w:hAnsi="Times New Roman"/>
          <w:b/>
          <w:sz w:val="28"/>
          <w:szCs w:val="28"/>
        </w:rPr>
      </w:pPr>
      <w:r>
        <w:rPr>
          <w:rFonts w:ascii="Times New Roman" w:hAnsi="Times New Roman"/>
          <w:b/>
          <w:sz w:val="28"/>
          <w:szCs w:val="28"/>
        </w:rPr>
        <w:t>Conflict of Interest</w:t>
      </w:r>
    </w:p>
    <w:p w14:paraId="65FFF3A5" w14:textId="77777777" w:rsidR="00E565B4" w:rsidRDefault="00000000">
      <w:pPr>
        <w:widowControl w:val="0"/>
        <w:spacing w:line="360" w:lineRule="auto"/>
        <w:jc w:val="both"/>
        <w:rPr>
          <w:rFonts w:ascii="Times New Roman" w:hAnsi="Times New Roman"/>
          <w:bCs/>
        </w:rPr>
      </w:pPr>
      <w:r>
        <w:rPr>
          <w:rFonts w:ascii="Times New Roman" w:hAnsi="Times New Roman"/>
          <w:bCs/>
        </w:rPr>
        <w:t>The authors declare no conflict of interest.</w:t>
      </w:r>
    </w:p>
    <w:p w14:paraId="2732FE13" w14:textId="77777777" w:rsidR="00E565B4" w:rsidRDefault="00E565B4">
      <w:pPr>
        <w:widowControl w:val="0"/>
        <w:spacing w:line="360" w:lineRule="auto"/>
        <w:jc w:val="both"/>
        <w:rPr>
          <w:rFonts w:ascii="Times New Roman" w:hAnsi="Times New Roman"/>
          <w:bCs/>
          <w:color w:val="FF0000"/>
        </w:rPr>
      </w:pPr>
    </w:p>
    <w:p w14:paraId="6A49DF6A" w14:textId="77777777" w:rsidR="00E565B4" w:rsidRDefault="00000000">
      <w:pPr>
        <w:widowControl w:val="0"/>
        <w:spacing w:line="360" w:lineRule="auto"/>
        <w:jc w:val="both"/>
        <w:rPr>
          <w:rFonts w:ascii="Times New Roman" w:hAnsi="Times New Roman"/>
          <w:b/>
        </w:rPr>
      </w:pPr>
      <w:r>
        <w:rPr>
          <w:rFonts w:ascii="Times New Roman" w:hAnsi="Times New Roman"/>
          <w:b/>
        </w:rPr>
        <w:t>Keywords</w:t>
      </w:r>
    </w:p>
    <w:p w14:paraId="2F0CCE69" w14:textId="77777777" w:rsidR="00E565B4" w:rsidRDefault="00000000">
      <w:pPr>
        <w:widowControl w:val="0"/>
        <w:spacing w:line="360" w:lineRule="auto"/>
        <w:jc w:val="both"/>
        <w:rPr>
          <w:rFonts w:ascii="Times New Roman" w:hAnsi="Times New Roman"/>
          <w:bCs/>
        </w:rPr>
      </w:pPr>
      <w:r>
        <w:rPr>
          <w:rFonts w:ascii="Times New Roman" w:hAnsi="Times New Roman" w:hint="eastAsia"/>
          <w:bCs/>
        </w:rPr>
        <w:t>Poly-crystal diamond, N-doping, persistent photoconductivity, optoelectronic synapse, encrypted communication</w:t>
      </w:r>
    </w:p>
    <w:p w14:paraId="19575103" w14:textId="77777777" w:rsidR="00E565B4" w:rsidRDefault="00E565B4">
      <w:pPr>
        <w:widowControl w:val="0"/>
        <w:spacing w:line="360" w:lineRule="auto"/>
        <w:jc w:val="both"/>
        <w:rPr>
          <w:rFonts w:ascii="Times New Roman" w:hAnsi="Times New Roman"/>
          <w:bCs/>
        </w:rPr>
      </w:pPr>
    </w:p>
    <w:p w14:paraId="45CBA2C7" w14:textId="77777777" w:rsidR="00E565B4" w:rsidRDefault="00000000">
      <w:pPr>
        <w:widowControl w:val="0"/>
        <w:spacing w:line="360" w:lineRule="auto"/>
        <w:jc w:val="both"/>
        <w:rPr>
          <w:rFonts w:ascii="Times New Roman" w:hAnsi="Times New Roman"/>
          <w:b/>
          <w:sz w:val="28"/>
          <w:szCs w:val="28"/>
        </w:rPr>
      </w:pPr>
      <w:r>
        <w:rPr>
          <w:rFonts w:ascii="Times New Roman" w:hAnsi="Times New Roman" w:hint="eastAsia"/>
          <w:b/>
          <w:sz w:val="28"/>
          <w:szCs w:val="28"/>
        </w:rPr>
        <w:t>References</w:t>
      </w:r>
    </w:p>
    <w:p w14:paraId="30307919" w14:textId="77777777" w:rsidR="00E565B4" w:rsidRDefault="00000000">
      <w:pPr>
        <w:spacing w:line="360" w:lineRule="auto"/>
        <w:jc w:val="both"/>
        <w:rPr>
          <w:rFonts w:ascii="Times New Roman" w:hAnsi="Times New Roman"/>
        </w:rPr>
      </w:pPr>
      <w:r>
        <w:rPr>
          <w:rFonts w:ascii="Times New Roman" w:hAnsi="Times New Roman" w:hint="eastAsia"/>
        </w:rPr>
        <w:t xml:space="preserve">[1] M. M. Waldrop, </w:t>
      </w:r>
      <w:r>
        <w:rPr>
          <w:rFonts w:ascii="Times New Roman" w:hAnsi="Times New Roman" w:hint="eastAsia"/>
          <w:i/>
          <w:iCs/>
        </w:rPr>
        <w:t>Nature</w:t>
      </w:r>
      <w:r>
        <w:rPr>
          <w:rFonts w:ascii="Times New Roman" w:hAnsi="Times New Roman" w:hint="eastAsia"/>
        </w:rPr>
        <w:t xml:space="preserve"> </w:t>
      </w:r>
      <w:r>
        <w:rPr>
          <w:rFonts w:ascii="Times New Roman" w:hAnsi="Times New Roman" w:hint="eastAsia"/>
          <w:b/>
          <w:bCs/>
        </w:rPr>
        <w:t>2016</w:t>
      </w:r>
      <w:r>
        <w:rPr>
          <w:rFonts w:ascii="Times New Roman" w:hAnsi="Times New Roman" w:hint="eastAsia"/>
        </w:rPr>
        <w:t xml:space="preserve">, </w:t>
      </w:r>
      <w:r>
        <w:rPr>
          <w:rFonts w:ascii="Times New Roman" w:hAnsi="Times New Roman" w:hint="eastAsia"/>
          <w:i/>
          <w:iCs/>
        </w:rPr>
        <w:t>530</w:t>
      </w:r>
      <w:r>
        <w:rPr>
          <w:rFonts w:ascii="Times New Roman" w:hAnsi="Times New Roman" w:hint="eastAsia"/>
        </w:rPr>
        <w:t>, 144.</w:t>
      </w:r>
    </w:p>
    <w:p w14:paraId="4EA26E87" w14:textId="77777777" w:rsidR="00E565B4" w:rsidRDefault="00000000">
      <w:pPr>
        <w:spacing w:line="360" w:lineRule="auto"/>
        <w:jc w:val="both"/>
        <w:rPr>
          <w:rFonts w:ascii="Times New Roman" w:hAnsi="Times New Roman"/>
        </w:rPr>
      </w:pPr>
      <w:r>
        <w:rPr>
          <w:rFonts w:ascii="Times New Roman" w:hAnsi="Times New Roman" w:hint="eastAsia"/>
        </w:rPr>
        <w:t xml:space="preserve">[2] Y. Wang, L. Yin, W. Huang, Y. Li, S. Huang, Y. Zhu, D. Yang, X. Pi, </w:t>
      </w:r>
      <w:r>
        <w:rPr>
          <w:rFonts w:ascii="Times New Roman" w:hAnsi="Times New Roman" w:hint="eastAsia"/>
          <w:i/>
          <w:iCs/>
        </w:rPr>
        <w:t xml:space="preserve">Adv. Intell. Syst. </w:t>
      </w:r>
      <w:r>
        <w:rPr>
          <w:rFonts w:ascii="Times New Roman" w:hAnsi="Times New Roman" w:hint="eastAsia"/>
          <w:b/>
          <w:bCs/>
        </w:rPr>
        <w:t>2021</w:t>
      </w:r>
      <w:r>
        <w:rPr>
          <w:rFonts w:ascii="Times New Roman" w:hAnsi="Times New Roman" w:hint="eastAsia"/>
        </w:rPr>
        <w:t xml:space="preserve">, </w:t>
      </w:r>
      <w:r>
        <w:rPr>
          <w:rFonts w:ascii="Times New Roman" w:hAnsi="Times New Roman" w:hint="eastAsia"/>
          <w:i/>
          <w:iCs/>
        </w:rPr>
        <w:t>3</w:t>
      </w:r>
      <w:r>
        <w:rPr>
          <w:rFonts w:ascii="Times New Roman" w:hAnsi="Times New Roman" w:hint="eastAsia"/>
        </w:rPr>
        <w:t>, 2000099.</w:t>
      </w:r>
    </w:p>
    <w:p w14:paraId="4876FE98" w14:textId="77777777" w:rsidR="00E565B4" w:rsidRDefault="00000000">
      <w:pPr>
        <w:spacing w:line="360" w:lineRule="auto"/>
        <w:jc w:val="both"/>
        <w:rPr>
          <w:rFonts w:ascii="Times New Roman" w:hAnsi="Times New Roman"/>
        </w:rPr>
      </w:pPr>
      <w:r>
        <w:rPr>
          <w:rFonts w:ascii="Times New Roman" w:hAnsi="Times New Roman" w:hint="eastAsia"/>
        </w:rPr>
        <w:t xml:space="preserve">[3] C. Cheng, P. J. Tiw, Y. Cai, X. Yan, Y. Yang, R. Huang, </w:t>
      </w:r>
      <w:r>
        <w:rPr>
          <w:rFonts w:ascii="Times New Roman" w:hAnsi="Times New Roman" w:hint="eastAsia"/>
          <w:i/>
          <w:iCs/>
        </w:rPr>
        <w:t>Stem Cells Int.</w:t>
      </w:r>
      <w:r>
        <w:rPr>
          <w:rFonts w:ascii="Times New Roman" w:hAnsi="Times New Roman" w:hint="eastAsia"/>
        </w:rPr>
        <w:t xml:space="preserve"> </w:t>
      </w:r>
      <w:r>
        <w:rPr>
          <w:rFonts w:ascii="Times New Roman" w:hAnsi="Times New Roman" w:hint="eastAsia"/>
          <w:b/>
          <w:bCs/>
        </w:rPr>
        <w:t>2021</w:t>
      </w:r>
      <w:r>
        <w:rPr>
          <w:rFonts w:ascii="Times New Roman" w:hAnsi="Times New Roman" w:hint="eastAsia"/>
        </w:rPr>
        <w:t>,</w:t>
      </w:r>
      <w:r>
        <w:rPr>
          <w:rFonts w:ascii="Times New Roman" w:hAnsi="Times New Roman" w:hint="eastAsia"/>
          <w:i/>
          <w:iCs/>
        </w:rPr>
        <w:t xml:space="preserve"> 64</w:t>
      </w:r>
      <w:r>
        <w:rPr>
          <w:rFonts w:ascii="Times New Roman" w:hAnsi="Times New Roman" w:hint="eastAsia"/>
        </w:rPr>
        <w:t>, 221402.</w:t>
      </w:r>
    </w:p>
    <w:p w14:paraId="1811E6FC" w14:textId="77777777" w:rsidR="00E565B4" w:rsidRDefault="00000000">
      <w:pPr>
        <w:spacing w:line="360" w:lineRule="auto"/>
        <w:jc w:val="both"/>
        <w:rPr>
          <w:rFonts w:ascii="Times New Roman" w:hAnsi="Times New Roman"/>
        </w:rPr>
      </w:pPr>
      <w:r>
        <w:rPr>
          <w:rFonts w:ascii="Times New Roman" w:hAnsi="Times New Roman" w:hint="eastAsia"/>
        </w:rPr>
        <w:t xml:space="preserve">[4] S. Ullman, </w:t>
      </w:r>
      <w:r>
        <w:rPr>
          <w:rFonts w:ascii="Times New Roman" w:hAnsi="Times New Roman" w:hint="eastAsia"/>
          <w:i/>
          <w:iCs/>
        </w:rPr>
        <w:t>Science</w:t>
      </w:r>
      <w:r>
        <w:rPr>
          <w:rFonts w:ascii="Times New Roman" w:hAnsi="Times New Roman" w:hint="eastAsia"/>
        </w:rPr>
        <w:t xml:space="preserve"> </w:t>
      </w:r>
      <w:r>
        <w:rPr>
          <w:rFonts w:ascii="Times New Roman" w:hAnsi="Times New Roman" w:hint="eastAsia"/>
          <w:b/>
          <w:bCs/>
        </w:rPr>
        <w:t>2019</w:t>
      </w:r>
      <w:r>
        <w:rPr>
          <w:rFonts w:ascii="Times New Roman" w:hAnsi="Times New Roman" w:hint="eastAsia"/>
        </w:rPr>
        <w:t xml:space="preserve">, </w:t>
      </w:r>
      <w:r>
        <w:rPr>
          <w:rFonts w:ascii="Times New Roman" w:hAnsi="Times New Roman" w:hint="eastAsia"/>
          <w:i/>
          <w:iCs/>
        </w:rPr>
        <w:t>363</w:t>
      </w:r>
      <w:r>
        <w:rPr>
          <w:rFonts w:ascii="Times New Roman" w:hAnsi="Times New Roman" w:hint="eastAsia"/>
        </w:rPr>
        <w:t>, 692.</w:t>
      </w:r>
    </w:p>
    <w:p w14:paraId="01D71C41" w14:textId="77777777" w:rsidR="00E565B4" w:rsidRDefault="00000000">
      <w:pPr>
        <w:spacing w:line="360" w:lineRule="auto"/>
        <w:jc w:val="both"/>
        <w:rPr>
          <w:rFonts w:ascii="Times New Roman" w:hAnsi="Times New Roman"/>
        </w:rPr>
      </w:pPr>
      <w:r>
        <w:rPr>
          <w:rFonts w:ascii="Times New Roman" w:hAnsi="Times New Roman" w:hint="eastAsia"/>
        </w:rPr>
        <w:t xml:space="preserve">[5] D. A. Drachman, </w:t>
      </w:r>
      <w:r>
        <w:rPr>
          <w:rFonts w:ascii="Times New Roman" w:hAnsi="Times New Roman" w:hint="eastAsia"/>
          <w:i/>
          <w:iCs/>
        </w:rPr>
        <w:t>Neurology</w:t>
      </w:r>
      <w:r>
        <w:rPr>
          <w:rFonts w:ascii="Times New Roman" w:hAnsi="Times New Roman" w:hint="eastAsia"/>
          <w:b/>
          <w:bCs/>
        </w:rPr>
        <w:t xml:space="preserve"> 2005</w:t>
      </w:r>
      <w:r>
        <w:rPr>
          <w:rFonts w:ascii="Times New Roman" w:hAnsi="Times New Roman" w:hint="eastAsia"/>
        </w:rPr>
        <w:t>,</w:t>
      </w:r>
      <w:r>
        <w:rPr>
          <w:rFonts w:ascii="Times New Roman" w:hAnsi="Times New Roman" w:hint="eastAsia"/>
          <w:i/>
          <w:iCs/>
        </w:rPr>
        <w:t xml:space="preserve"> 64</w:t>
      </w:r>
      <w:r>
        <w:rPr>
          <w:rFonts w:ascii="Times New Roman" w:hAnsi="Times New Roman" w:hint="eastAsia"/>
        </w:rPr>
        <w:t>, 2004.</w:t>
      </w:r>
    </w:p>
    <w:p w14:paraId="3463A0C3" w14:textId="77777777" w:rsidR="00E565B4" w:rsidRDefault="00000000">
      <w:pPr>
        <w:spacing w:line="360" w:lineRule="auto"/>
        <w:jc w:val="both"/>
        <w:rPr>
          <w:rFonts w:ascii="Times New Roman" w:hAnsi="Times New Roman"/>
        </w:rPr>
      </w:pPr>
      <w:r>
        <w:rPr>
          <w:rFonts w:ascii="Times New Roman" w:hAnsi="Times New Roman" w:hint="eastAsia"/>
        </w:rPr>
        <w:t xml:space="preserve">[6] M. K. Kim, J. S. Lee, </w:t>
      </w:r>
      <w:r>
        <w:rPr>
          <w:rFonts w:ascii="Times New Roman" w:hAnsi="Times New Roman" w:hint="eastAsia"/>
          <w:i/>
          <w:iCs/>
        </w:rPr>
        <w:t>Nano Lett.</w:t>
      </w:r>
      <w:r>
        <w:rPr>
          <w:rFonts w:ascii="Times New Roman" w:hAnsi="Times New Roman" w:hint="eastAsia"/>
          <w:b/>
          <w:bCs/>
        </w:rPr>
        <w:t xml:space="preserve"> 2019</w:t>
      </w:r>
      <w:r>
        <w:rPr>
          <w:rFonts w:ascii="Times New Roman" w:hAnsi="Times New Roman" w:hint="eastAsia"/>
        </w:rPr>
        <w:t>,</w:t>
      </w:r>
      <w:r>
        <w:rPr>
          <w:rFonts w:ascii="Times New Roman" w:hAnsi="Times New Roman" w:hint="eastAsia"/>
          <w:i/>
          <w:iCs/>
        </w:rPr>
        <w:t xml:space="preserve"> 19</w:t>
      </w:r>
      <w:r>
        <w:rPr>
          <w:rFonts w:ascii="Times New Roman" w:hAnsi="Times New Roman" w:hint="eastAsia"/>
        </w:rPr>
        <w:t>, 2044.</w:t>
      </w:r>
    </w:p>
    <w:p w14:paraId="6D1B26B1" w14:textId="77777777" w:rsidR="00E565B4" w:rsidRDefault="00000000">
      <w:pPr>
        <w:spacing w:line="360" w:lineRule="auto"/>
        <w:jc w:val="both"/>
        <w:rPr>
          <w:rFonts w:ascii="Times New Roman" w:hAnsi="Times New Roman"/>
        </w:rPr>
      </w:pPr>
      <w:r>
        <w:rPr>
          <w:rFonts w:ascii="Times New Roman" w:hAnsi="Times New Roman" w:hint="eastAsia"/>
        </w:rPr>
        <w:t xml:space="preserve">[7] J. Feldmann, N. Youngblood, C. D. Wright, H. Bhaskaran, W. H. P. Pernice, </w:t>
      </w:r>
      <w:r>
        <w:rPr>
          <w:rFonts w:ascii="Times New Roman" w:hAnsi="Times New Roman" w:hint="eastAsia"/>
          <w:i/>
          <w:iCs/>
        </w:rPr>
        <w:t>Nature</w:t>
      </w:r>
      <w:r>
        <w:rPr>
          <w:rFonts w:ascii="Times New Roman" w:hAnsi="Times New Roman" w:hint="eastAsia"/>
          <w:b/>
          <w:bCs/>
        </w:rPr>
        <w:t xml:space="preserve"> 2019</w:t>
      </w:r>
      <w:r>
        <w:rPr>
          <w:rFonts w:ascii="Times New Roman" w:hAnsi="Times New Roman" w:hint="eastAsia"/>
        </w:rPr>
        <w:t xml:space="preserve">, </w:t>
      </w:r>
      <w:r>
        <w:rPr>
          <w:rFonts w:ascii="Times New Roman" w:hAnsi="Times New Roman" w:hint="eastAsia"/>
          <w:i/>
          <w:iCs/>
        </w:rPr>
        <w:t>569</w:t>
      </w:r>
      <w:r>
        <w:rPr>
          <w:rFonts w:ascii="Times New Roman" w:hAnsi="Times New Roman" w:hint="eastAsia"/>
        </w:rPr>
        <w:t>, 208.</w:t>
      </w:r>
    </w:p>
    <w:p w14:paraId="45A83A94" w14:textId="77777777" w:rsidR="00E565B4" w:rsidRDefault="00000000">
      <w:pPr>
        <w:spacing w:line="360" w:lineRule="auto"/>
        <w:jc w:val="both"/>
        <w:rPr>
          <w:rFonts w:ascii="Times New Roman" w:hAnsi="Times New Roman"/>
        </w:rPr>
      </w:pPr>
      <w:r>
        <w:rPr>
          <w:rFonts w:ascii="Times New Roman" w:hAnsi="Times New Roman" w:hint="eastAsia"/>
        </w:rPr>
        <w:t xml:space="preserve">[8] Y. Wang, Y. Y. Zhu, Y. Y. Li, Y. Q. Zhang, D. R. Yang, X. D. Pi, </w:t>
      </w:r>
      <w:r>
        <w:rPr>
          <w:rFonts w:ascii="Times New Roman" w:hAnsi="Times New Roman" w:hint="eastAsia"/>
          <w:i/>
          <w:iCs/>
        </w:rPr>
        <w:t>Adv. Funct. Mater.</w:t>
      </w:r>
      <w:r>
        <w:rPr>
          <w:rFonts w:ascii="Times New Roman" w:hAnsi="Times New Roman" w:hint="eastAsia"/>
        </w:rPr>
        <w:t xml:space="preserve"> </w:t>
      </w:r>
      <w:r>
        <w:rPr>
          <w:rFonts w:ascii="Times New Roman" w:hAnsi="Times New Roman" w:hint="eastAsia"/>
          <w:b/>
          <w:bCs/>
        </w:rPr>
        <w:t>2022</w:t>
      </w:r>
      <w:r>
        <w:rPr>
          <w:rFonts w:ascii="Times New Roman" w:hAnsi="Times New Roman" w:hint="eastAsia"/>
        </w:rPr>
        <w:t>,</w:t>
      </w:r>
      <w:r>
        <w:rPr>
          <w:rFonts w:ascii="Times New Roman" w:hAnsi="Times New Roman" w:hint="eastAsia"/>
          <w:i/>
          <w:iCs/>
        </w:rPr>
        <w:t xml:space="preserve"> 32</w:t>
      </w:r>
      <w:r>
        <w:rPr>
          <w:rFonts w:ascii="Times New Roman" w:hAnsi="Times New Roman" w:hint="eastAsia"/>
        </w:rPr>
        <w:t>, 2107973.</w:t>
      </w:r>
    </w:p>
    <w:p w14:paraId="61DC175B" w14:textId="77777777" w:rsidR="00E565B4" w:rsidRDefault="00000000">
      <w:pPr>
        <w:spacing w:line="360" w:lineRule="auto"/>
        <w:jc w:val="both"/>
        <w:rPr>
          <w:rFonts w:ascii="Times New Roman" w:hAnsi="Times New Roman"/>
        </w:rPr>
      </w:pPr>
      <w:r>
        <w:rPr>
          <w:rFonts w:ascii="Times New Roman" w:hAnsi="Times New Roman" w:hint="eastAsia"/>
        </w:rPr>
        <w:t xml:space="preserve">[9] X. Y. Shan, C. Y. Zhao, X. N. Wang, Z. Q. Wang, S. C. Fu, Y. Lin, T. Zeng, X. N. Zhao, H. Y. Xu, X. T. Zhang, Y. C. Liu, </w:t>
      </w:r>
      <w:r>
        <w:rPr>
          <w:rFonts w:ascii="Times New Roman" w:hAnsi="Times New Roman" w:hint="eastAsia"/>
          <w:i/>
          <w:iCs/>
        </w:rPr>
        <w:t>Adv. Sci.</w:t>
      </w:r>
      <w:r>
        <w:rPr>
          <w:rFonts w:ascii="Times New Roman" w:hAnsi="Times New Roman" w:hint="eastAsia"/>
        </w:rPr>
        <w:t xml:space="preserve"> </w:t>
      </w:r>
      <w:r>
        <w:rPr>
          <w:rFonts w:ascii="Times New Roman" w:hAnsi="Times New Roman" w:hint="eastAsia"/>
          <w:b/>
          <w:bCs/>
        </w:rPr>
        <w:t>2022</w:t>
      </w:r>
      <w:r>
        <w:rPr>
          <w:rFonts w:ascii="Times New Roman" w:hAnsi="Times New Roman" w:hint="eastAsia"/>
        </w:rPr>
        <w:t xml:space="preserve">, </w:t>
      </w:r>
      <w:r>
        <w:rPr>
          <w:rFonts w:ascii="Times New Roman" w:hAnsi="Times New Roman" w:hint="eastAsia"/>
          <w:i/>
          <w:iCs/>
        </w:rPr>
        <w:t>9</w:t>
      </w:r>
      <w:r>
        <w:rPr>
          <w:rFonts w:ascii="Times New Roman" w:hAnsi="Times New Roman" w:hint="eastAsia"/>
        </w:rPr>
        <w:t>, 2104632.</w:t>
      </w:r>
    </w:p>
    <w:p w14:paraId="5378E4DC" w14:textId="77777777" w:rsidR="00E565B4" w:rsidRDefault="00000000">
      <w:pPr>
        <w:spacing w:line="360" w:lineRule="auto"/>
        <w:jc w:val="both"/>
        <w:rPr>
          <w:rFonts w:ascii="Times New Roman" w:hAnsi="Times New Roman"/>
        </w:rPr>
      </w:pPr>
      <w:r>
        <w:rPr>
          <w:rFonts w:ascii="Times New Roman" w:hAnsi="Times New Roman" w:hint="eastAsia"/>
        </w:rPr>
        <w:lastRenderedPageBreak/>
        <w:t xml:space="preserve">[10] Y. Wang, T. Zhou, Y. Cui, M. Y. Xu, M. Zhang, K. Tang, X. R. Chen, H. X. Tian, C. J. Yin, J. W. Huang, C. Y. Yan, X. F. Wang, </w:t>
      </w:r>
      <w:r>
        <w:rPr>
          <w:rFonts w:ascii="Times New Roman" w:hAnsi="Times New Roman" w:hint="eastAsia"/>
          <w:i/>
          <w:iCs/>
        </w:rPr>
        <w:t>Adv. Funct. Mater.</w:t>
      </w:r>
      <w:r>
        <w:rPr>
          <w:rFonts w:ascii="Times New Roman" w:hAnsi="Times New Roman" w:hint="eastAsia"/>
          <w:b/>
          <w:bCs/>
          <w:i/>
          <w:iCs/>
        </w:rPr>
        <w:t xml:space="preserve"> </w:t>
      </w:r>
      <w:r>
        <w:rPr>
          <w:rFonts w:ascii="Times New Roman" w:hAnsi="Times New Roman" w:hint="eastAsia"/>
          <w:b/>
          <w:bCs/>
        </w:rPr>
        <w:t>2024</w:t>
      </w:r>
      <w:r>
        <w:rPr>
          <w:rFonts w:ascii="Times New Roman" w:hAnsi="Times New Roman" w:hint="eastAsia"/>
        </w:rPr>
        <w:t xml:space="preserve">, </w:t>
      </w:r>
      <w:r>
        <w:rPr>
          <w:rFonts w:ascii="Times New Roman" w:hAnsi="Times New Roman" w:hint="eastAsia"/>
          <w:i/>
          <w:iCs/>
        </w:rPr>
        <w:t>34</w:t>
      </w:r>
      <w:r>
        <w:rPr>
          <w:rFonts w:ascii="Times New Roman" w:hAnsi="Times New Roman" w:hint="eastAsia"/>
        </w:rPr>
        <w:t>, 2400039.</w:t>
      </w:r>
    </w:p>
    <w:p w14:paraId="5FF0ADDA" w14:textId="77777777" w:rsidR="00E565B4" w:rsidRDefault="00000000">
      <w:pPr>
        <w:spacing w:line="360" w:lineRule="auto"/>
        <w:jc w:val="both"/>
        <w:rPr>
          <w:rFonts w:ascii="Times New Roman" w:hAnsi="Times New Roman"/>
        </w:rPr>
      </w:pPr>
      <w:r>
        <w:rPr>
          <w:rFonts w:ascii="Times New Roman" w:hAnsi="Times New Roman" w:hint="eastAsia"/>
        </w:rPr>
        <w:t xml:space="preserve">[11] P. Gkoupidenis, D. A. Koutsouras, G. G. Malliaras, </w:t>
      </w:r>
      <w:r>
        <w:rPr>
          <w:rFonts w:ascii="Times New Roman" w:hAnsi="Times New Roman" w:hint="eastAsia"/>
          <w:i/>
          <w:iCs/>
        </w:rPr>
        <w:t>Nat. Commun.</w:t>
      </w:r>
      <w:r>
        <w:rPr>
          <w:rFonts w:ascii="Times New Roman" w:hAnsi="Times New Roman" w:hint="eastAsia"/>
        </w:rPr>
        <w:t xml:space="preserve"> </w:t>
      </w:r>
      <w:r>
        <w:rPr>
          <w:rFonts w:ascii="Times New Roman" w:hAnsi="Times New Roman" w:hint="eastAsia"/>
          <w:b/>
          <w:bCs/>
        </w:rPr>
        <w:t>2017</w:t>
      </w:r>
      <w:r>
        <w:rPr>
          <w:rFonts w:ascii="Times New Roman" w:hAnsi="Times New Roman" w:hint="eastAsia"/>
        </w:rPr>
        <w:t>, 8, 15448.</w:t>
      </w:r>
    </w:p>
    <w:p w14:paraId="2F4A6D8C" w14:textId="77777777" w:rsidR="00E565B4" w:rsidRDefault="00000000">
      <w:pPr>
        <w:spacing w:line="360" w:lineRule="auto"/>
        <w:jc w:val="both"/>
        <w:rPr>
          <w:rFonts w:ascii="Times New Roman" w:hAnsi="Times New Roman"/>
        </w:rPr>
      </w:pPr>
      <w:r>
        <w:rPr>
          <w:rFonts w:ascii="Times New Roman" w:hAnsi="Times New Roman" w:hint="eastAsia"/>
        </w:rPr>
        <w:t>[12] X. Zhuge, J. Wang, F. Zhuge,</w:t>
      </w:r>
      <w:r>
        <w:rPr>
          <w:rFonts w:ascii="Times New Roman" w:hAnsi="Times New Roman" w:hint="eastAsia"/>
          <w:i/>
          <w:iCs/>
        </w:rPr>
        <w:t xml:space="preserve"> Phys. Status Solidi RRL</w:t>
      </w:r>
      <w:r>
        <w:rPr>
          <w:rFonts w:ascii="Times New Roman" w:hAnsi="Times New Roman" w:hint="eastAsia"/>
        </w:rPr>
        <w:t xml:space="preserve"> </w:t>
      </w:r>
      <w:r>
        <w:rPr>
          <w:rFonts w:ascii="Times New Roman" w:hAnsi="Times New Roman" w:hint="eastAsia"/>
          <w:b/>
          <w:bCs/>
        </w:rPr>
        <w:t>2019</w:t>
      </w:r>
      <w:r>
        <w:rPr>
          <w:rFonts w:ascii="Times New Roman" w:hAnsi="Times New Roman" w:hint="eastAsia"/>
        </w:rPr>
        <w:t xml:space="preserve">, </w:t>
      </w:r>
      <w:r>
        <w:rPr>
          <w:rFonts w:ascii="Times New Roman" w:hAnsi="Times New Roman" w:hint="eastAsia"/>
          <w:i/>
          <w:iCs/>
        </w:rPr>
        <w:t>13</w:t>
      </w:r>
      <w:r>
        <w:rPr>
          <w:rFonts w:ascii="Times New Roman" w:hAnsi="Times New Roman" w:hint="eastAsia"/>
        </w:rPr>
        <w:t>, 1900082.</w:t>
      </w:r>
    </w:p>
    <w:p w14:paraId="5559562C" w14:textId="77777777" w:rsidR="00E565B4" w:rsidRDefault="00000000">
      <w:pPr>
        <w:spacing w:line="360" w:lineRule="auto"/>
        <w:jc w:val="both"/>
        <w:rPr>
          <w:rFonts w:ascii="Times New Roman" w:hAnsi="Times New Roman"/>
        </w:rPr>
      </w:pPr>
      <w:r>
        <w:rPr>
          <w:rFonts w:ascii="Times New Roman" w:hAnsi="Times New Roman" w:hint="eastAsia"/>
        </w:rPr>
        <w:t xml:space="preserve">[13] X. H. Zhang, Y. Wang, X. N. Zhao, Z. Q. Wang, X. Y. Shan, H. Y. Xu, Y. C. Liu, </w:t>
      </w:r>
      <w:r>
        <w:rPr>
          <w:rFonts w:ascii="Times New Roman" w:hAnsi="Times New Roman" w:hint="eastAsia"/>
          <w:i/>
          <w:iCs/>
        </w:rPr>
        <w:t>Inf. Funct. Mater.</w:t>
      </w:r>
      <w:r>
        <w:rPr>
          <w:rFonts w:ascii="Times New Roman" w:hAnsi="Times New Roman" w:hint="eastAsia"/>
          <w:b/>
          <w:bCs/>
        </w:rPr>
        <w:t xml:space="preserve"> 2024</w:t>
      </w:r>
      <w:r>
        <w:rPr>
          <w:rFonts w:ascii="Times New Roman" w:hAnsi="Times New Roman" w:hint="eastAsia"/>
        </w:rPr>
        <w:t xml:space="preserve">, </w:t>
      </w:r>
      <w:r>
        <w:rPr>
          <w:rFonts w:ascii="Times New Roman" w:hAnsi="Times New Roman" w:hint="eastAsia"/>
          <w:i/>
          <w:iCs/>
        </w:rPr>
        <w:t>1</w:t>
      </w:r>
      <w:r>
        <w:rPr>
          <w:rFonts w:ascii="Times New Roman" w:hAnsi="Times New Roman" w:hint="eastAsia"/>
        </w:rPr>
        <w:t>, 265.</w:t>
      </w:r>
    </w:p>
    <w:p w14:paraId="5F4BA64E" w14:textId="77777777" w:rsidR="00E565B4" w:rsidRDefault="00000000">
      <w:pPr>
        <w:spacing w:line="360" w:lineRule="auto"/>
        <w:jc w:val="both"/>
        <w:rPr>
          <w:rFonts w:ascii="Times New Roman" w:hAnsi="Times New Roman"/>
        </w:rPr>
      </w:pPr>
      <w:r>
        <w:rPr>
          <w:rFonts w:ascii="Times New Roman" w:hAnsi="Times New Roman" w:hint="eastAsia"/>
        </w:rPr>
        <w:t xml:space="preserve">[14] D. D. Hao, Z. Y. Yang, J. Huang, F. K. Shan, </w:t>
      </w:r>
      <w:r>
        <w:rPr>
          <w:rFonts w:ascii="Times New Roman" w:hAnsi="Times New Roman" w:hint="eastAsia"/>
          <w:i/>
          <w:iCs/>
        </w:rPr>
        <w:t xml:space="preserve">Adv. Funct. Mater. </w:t>
      </w:r>
      <w:r>
        <w:rPr>
          <w:rFonts w:ascii="Times New Roman" w:hAnsi="Times New Roman" w:hint="eastAsia"/>
          <w:b/>
          <w:bCs/>
        </w:rPr>
        <w:t>2023</w:t>
      </w:r>
      <w:r>
        <w:rPr>
          <w:rFonts w:ascii="Times New Roman" w:hAnsi="Times New Roman" w:hint="eastAsia"/>
        </w:rPr>
        <w:t xml:space="preserve">, </w:t>
      </w:r>
      <w:r>
        <w:rPr>
          <w:rFonts w:ascii="Times New Roman" w:hAnsi="Times New Roman" w:hint="eastAsia"/>
          <w:i/>
          <w:iCs/>
        </w:rPr>
        <w:t>33</w:t>
      </w:r>
      <w:r>
        <w:rPr>
          <w:rFonts w:ascii="Times New Roman" w:hAnsi="Times New Roman" w:hint="eastAsia"/>
        </w:rPr>
        <w:t>, 2211467.</w:t>
      </w:r>
    </w:p>
    <w:p w14:paraId="7437F3BF" w14:textId="77777777" w:rsidR="00E565B4" w:rsidRDefault="00000000">
      <w:pPr>
        <w:spacing w:line="360" w:lineRule="auto"/>
        <w:jc w:val="both"/>
        <w:rPr>
          <w:rFonts w:ascii="Times New Roman" w:hAnsi="Times New Roman"/>
        </w:rPr>
      </w:pPr>
      <w:r>
        <w:rPr>
          <w:rFonts w:ascii="Times New Roman" w:hAnsi="Times New Roman" w:hint="eastAsia"/>
        </w:rPr>
        <w:t xml:space="preserve">[15] L. Q. Guo, H. X. Sun, L. L. Min, M. Wang, F. R. Cao, L. Li, </w:t>
      </w:r>
      <w:r>
        <w:rPr>
          <w:rFonts w:ascii="Times New Roman" w:hAnsi="Times New Roman" w:hint="eastAsia"/>
          <w:i/>
          <w:iCs/>
        </w:rPr>
        <w:t>Adv. Mater.</w:t>
      </w:r>
      <w:r>
        <w:rPr>
          <w:rFonts w:ascii="Times New Roman" w:hAnsi="Times New Roman" w:hint="eastAsia"/>
        </w:rPr>
        <w:t xml:space="preserve"> </w:t>
      </w:r>
      <w:r>
        <w:rPr>
          <w:rFonts w:ascii="Times New Roman" w:hAnsi="Times New Roman" w:hint="eastAsia"/>
          <w:b/>
          <w:bCs/>
        </w:rPr>
        <w:t>2024</w:t>
      </w:r>
      <w:r>
        <w:rPr>
          <w:rFonts w:ascii="Times New Roman" w:hAnsi="Times New Roman" w:hint="eastAsia"/>
        </w:rPr>
        <w:t xml:space="preserve">, </w:t>
      </w:r>
      <w:r>
        <w:rPr>
          <w:rFonts w:ascii="Times New Roman" w:hAnsi="Times New Roman" w:hint="eastAsia"/>
          <w:i/>
          <w:iCs/>
        </w:rPr>
        <w:t>36</w:t>
      </w:r>
      <w:r>
        <w:rPr>
          <w:rFonts w:ascii="Times New Roman" w:hAnsi="Times New Roman" w:hint="eastAsia"/>
        </w:rPr>
        <w:t>, 2402253.</w:t>
      </w:r>
    </w:p>
    <w:p w14:paraId="218ED86E" w14:textId="77777777" w:rsidR="00E565B4" w:rsidRDefault="00000000">
      <w:pPr>
        <w:spacing w:line="360" w:lineRule="auto"/>
        <w:jc w:val="both"/>
        <w:rPr>
          <w:rFonts w:ascii="Times New Roman" w:hAnsi="Times New Roman"/>
        </w:rPr>
      </w:pPr>
      <w:r>
        <w:rPr>
          <w:rFonts w:ascii="Times New Roman" w:hAnsi="Times New Roman" w:hint="eastAsia"/>
        </w:rPr>
        <w:t xml:space="preserve">[16] Z. G. Cai, L. W. Liu, P. Zhou, </w:t>
      </w:r>
      <w:r>
        <w:rPr>
          <w:rFonts w:ascii="Times New Roman" w:hAnsi="Times New Roman" w:hint="eastAsia"/>
          <w:i/>
          <w:iCs/>
        </w:rPr>
        <w:t>Inf. Funct. Mater.</w:t>
      </w:r>
      <w:r>
        <w:rPr>
          <w:rFonts w:ascii="Times New Roman" w:hAnsi="Times New Roman" w:hint="eastAsia"/>
          <w:b/>
          <w:bCs/>
        </w:rPr>
        <w:t xml:space="preserve"> 2024</w:t>
      </w:r>
      <w:r>
        <w:rPr>
          <w:rFonts w:ascii="Times New Roman" w:hAnsi="Times New Roman" w:hint="eastAsia"/>
        </w:rPr>
        <w:t xml:space="preserve">, </w:t>
      </w:r>
      <w:r>
        <w:rPr>
          <w:rFonts w:ascii="Times New Roman" w:hAnsi="Times New Roman" w:hint="eastAsia"/>
          <w:i/>
          <w:iCs/>
        </w:rPr>
        <w:t>1</w:t>
      </w:r>
      <w:r>
        <w:rPr>
          <w:rFonts w:ascii="Times New Roman" w:hAnsi="Times New Roman" w:hint="eastAsia"/>
        </w:rPr>
        <w:t xml:space="preserve">, 304. </w:t>
      </w:r>
    </w:p>
    <w:p w14:paraId="0011B920" w14:textId="77777777" w:rsidR="00E565B4" w:rsidRDefault="00000000">
      <w:pPr>
        <w:spacing w:line="360" w:lineRule="auto"/>
        <w:jc w:val="both"/>
        <w:rPr>
          <w:rFonts w:ascii="Times New Roman" w:hAnsi="Times New Roman"/>
        </w:rPr>
      </w:pPr>
      <w:r>
        <w:rPr>
          <w:rFonts w:ascii="Times New Roman" w:hAnsi="Times New Roman" w:hint="eastAsia"/>
        </w:rPr>
        <w:t>[17] R. Jana, S. Ghosh, R. Bhunia, A. Chowdhury,</w:t>
      </w:r>
      <w:r>
        <w:rPr>
          <w:rFonts w:ascii="Times New Roman" w:hAnsi="Times New Roman" w:hint="eastAsia"/>
          <w:i/>
          <w:iCs/>
        </w:rPr>
        <w:t xml:space="preserve"> J. Mater. Chem. C</w:t>
      </w:r>
      <w:r>
        <w:rPr>
          <w:rFonts w:ascii="Times New Roman" w:hAnsi="Times New Roman" w:hint="eastAsia"/>
          <w:b/>
          <w:bCs/>
        </w:rPr>
        <w:t xml:space="preserve"> 2024</w:t>
      </w:r>
      <w:r>
        <w:rPr>
          <w:rFonts w:ascii="Times New Roman" w:hAnsi="Times New Roman" w:hint="eastAsia"/>
        </w:rPr>
        <w:t xml:space="preserve">, </w:t>
      </w:r>
      <w:r>
        <w:rPr>
          <w:rFonts w:ascii="Times New Roman" w:hAnsi="Times New Roman" w:hint="eastAsia"/>
          <w:i/>
          <w:iCs/>
        </w:rPr>
        <w:t>12</w:t>
      </w:r>
      <w:r>
        <w:rPr>
          <w:rFonts w:ascii="Times New Roman" w:hAnsi="Times New Roman" w:hint="eastAsia"/>
        </w:rPr>
        <w:t>, 5299.</w:t>
      </w:r>
    </w:p>
    <w:p w14:paraId="42F7A6D7" w14:textId="77777777" w:rsidR="00E565B4" w:rsidRDefault="00000000">
      <w:pPr>
        <w:spacing w:line="360" w:lineRule="auto"/>
        <w:jc w:val="both"/>
        <w:rPr>
          <w:rFonts w:ascii="Times New Roman" w:hAnsi="Times New Roman"/>
        </w:rPr>
      </w:pPr>
      <w:r>
        <w:rPr>
          <w:rFonts w:ascii="Times New Roman" w:hAnsi="Times New Roman" w:hint="eastAsia"/>
        </w:rPr>
        <w:t xml:space="preserve">[18] Y. L. Sun, Y. T. Ding, D. Xie, </w:t>
      </w:r>
      <w:r>
        <w:rPr>
          <w:rFonts w:ascii="Times New Roman" w:hAnsi="Times New Roman" w:hint="eastAsia"/>
          <w:i/>
          <w:iCs/>
        </w:rPr>
        <w:t>Adv. Funct. Mater.</w:t>
      </w:r>
      <w:r>
        <w:rPr>
          <w:rFonts w:ascii="Times New Roman" w:hAnsi="Times New Roman" w:hint="eastAsia"/>
        </w:rPr>
        <w:t xml:space="preserve"> </w:t>
      </w:r>
      <w:r>
        <w:rPr>
          <w:rFonts w:ascii="Times New Roman" w:hAnsi="Times New Roman" w:hint="eastAsia"/>
          <w:b/>
          <w:bCs/>
        </w:rPr>
        <w:t>2021</w:t>
      </w:r>
      <w:r>
        <w:rPr>
          <w:rFonts w:ascii="Times New Roman" w:hAnsi="Times New Roman" w:hint="eastAsia"/>
        </w:rPr>
        <w:t xml:space="preserve">, </w:t>
      </w:r>
      <w:r>
        <w:rPr>
          <w:rFonts w:ascii="Times New Roman" w:hAnsi="Times New Roman" w:hint="eastAsia"/>
          <w:i/>
          <w:iCs/>
        </w:rPr>
        <w:t>31</w:t>
      </w:r>
      <w:r>
        <w:rPr>
          <w:rFonts w:ascii="Times New Roman" w:hAnsi="Times New Roman" w:hint="eastAsia"/>
        </w:rPr>
        <w:t>, 2105625.</w:t>
      </w:r>
    </w:p>
    <w:p w14:paraId="31C85203" w14:textId="77777777" w:rsidR="00E565B4" w:rsidRDefault="00000000">
      <w:pPr>
        <w:spacing w:line="360" w:lineRule="auto"/>
        <w:jc w:val="both"/>
        <w:rPr>
          <w:rFonts w:ascii="Times New Roman" w:hAnsi="Times New Roman"/>
        </w:rPr>
      </w:pPr>
      <w:r>
        <w:rPr>
          <w:rFonts w:ascii="Times New Roman" w:hAnsi="Times New Roman" w:hint="eastAsia"/>
        </w:rPr>
        <w:t xml:space="preserve">[19] M. Lee, W. Lee, S. Choi, J. W. Jo, J. Kim, S. K. Park, Y. H. Kim, </w:t>
      </w:r>
      <w:r>
        <w:rPr>
          <w:rFonts w:ascii="Times New Roman" w:hAnsi="Times New Roman" w:hint="eastAsia"/>
          <w:i/>
          <w:iCs/>
        </w:rPr>
        <w:t xml:space="preserve">Adv. Mater. </w:t>
      </w:r>
      <w:r>
        <w:rPr>
          <w:rFonts w:ascii="Times New Roman" w:hAnsi="Times New Roman" w:hint="eastAsia"/>
          <w:b/>
          <w:bCs/>
        </w:rPr>
        <w:t>2017</w:t>
      </w:r>
      <w:r>
        <w:rPr>
          <w:rFonts w:ascii="Times New Roman" w:hAnsi="Times New Roman" w:hint="eastAsia"/>
        </w:rPr>
        <w:t xml:space="preserve">, </w:t>
      </w:r>
      <w:r>
        <w:rPr>
          <w:rFonts w:ascii="Times New Roman" w:hAnsi="Times New Roman" w:hint="eastAsia"/>
          <w:i/>
          <w:iCs/>
        </w:rPr>
        <w:t>29</w:t>
      </w:r>
      <w:r>
        <w:rPr>
          <w:rFonts w:ascii="Times New Roman" w:hAnsi="Times New Roman" w:hint="eastAsia"/>
        </w:rPr>
        <w:t>, 1700951.</w:t>
      </w:r>
    </w:p>
    <w:p w14:paraId="6CFEFE46" w14:textId="77777777" w:rsidR="00E565B4" w:rsidRDefault="00000000">
      <w:pPr>
        <w:spacing w:line="360" w:lineRule="auto"/>
        <w:jc w:val="both"/>
        <w:rPr>
          <w:rFonts w:ascii="Times New Roman" w:hAnsi="Times New Roman"/>
        </w:rPr>
      </w:pPr>
      <w:r>
        <w:rPr>
          <w:rFonts w:ascii="Times New Roman" w:hAnsi="Times New Roman" w:hint="eastAsia"/>
        </w:rPr>
        <w:t>[20] J. T. Wang, Y. Zhang, D. G. Xie, Y. Z. Zhang, Y. Q. Li, B. Liu, Q. Q. Han, B. H. Wu, C. Ge, H. W. Zheng,</w:t>
      </w:r>
      <w:r>
        <w:rPr>
          <w:rFonts w:ascii="Times New Roman" w:hAnsi="Times New Roman" w:hint="eastAsia"/>
          <w:i/>
          <w:iCs/>
        </w:rPr>
        <w:t xml:space="preserve"> Nano Energy</w:t>
      </w:r>
      <w:r>
        <w:rPr>
          <w:rFonts w:ascii="Times New Roman" w:hAnsi="Times New Roman" w:hint="eastAsia"/>
          <w:b/>
          <w:bCs/>
        </w:rPr>
        <w:t xml:space="preserve"> 2024</w:t>
      </w:r>
      <w:r>
        <w:rPr>
          <w:rFonts w:ascii="Times New Roman" w:hAnsi="Times New Roman" w:hint="eastAsia"/>
        </w:rPr>
        <w:t xml:space="preserve">, </w:t>
      </w:r>
      <w:r>
        <w:rPr>
          <w:rFonts w:ascii="Times New Roman" w:hAnsi="Times New Roman" w:hint="eastAsia"/>
          <w:i/>
          <w:iCs/>
        </w:rPr>
        <w:t>120</w:t>
      </w:r>
      <w:r>
        <w:rPr>
          <w:rFonts w:ascii="Times New Roman" w:hAnsi="Times New Roman" w:hint="eastAsia"/>
        </w:rPr>
        <w:t>, 109128.</w:t>
      </w:r>
    </w:p>
    <w:p w14:paraId="0D6DC4AF" w14:textId="77777777" w:rsidR="00E565B4" w:rsidRDefault="00000000">
      <w:pPr>
        <w:spacing w:line="360" w:lineRule="auto"/>
        <w:jc w:val="both"/>
        <w:rPr>
          <w:rFonts w:ascii="Times New Roman" w:hAnsi="Times New Roman"/>
        </w:rPr>
      </w:pPr>
      <w:r>
        <w:rPr>
          <w:rFonts w:ascii="Times New Roman" w:hAnsi="Times New Roman" w:hint="eastAsia"/>
        </w:rPr>
        <w:t xml:space="preserve">[21] C. H. Kai, Y. Wang, X. P. Liu, X. Liu, X. Q. Zhang, X. D. Pi, D. R. Yang, </w:t>
      </w:r>
      <w:r>
        <w:rPr>
          <w:rFonts w:ascii="Times New Roman" w:hAnsi="Times New Roman" w:hint="eastAsia"/>
          <w:i/>
          <w:iCs/>
        </w:rPr>
        <w:t>Adv. Optical Mater.</w:t>
      </w:r>
      <w:r>
        <w:rPr>
          <w:rFonts w:ascii="Times New Roman" w:hAnsi="Times New Roman" w:hint="eastAsia"/>
        </w:rPr>
        <w:t xml:space="preserve"> </w:t>
      </w:r>
      <w:r>
        <w:rPr>
          <w:rFonts w:ascii="Times New Roman" w:hAnsi="Times New Roman" w:hint="eastAsia"/>
          <w:b/>
          <w:bCs/>
        </w:rPr>
        <w:t>2023</w:t>
      </w:r>
      <w:r>
        <w:rPr>
          <w:rFonts w:ascii="Times New Roman" w:hAnsi="Times New Roman" w:hint="eastAsia"/>
        </w:rPr>
        <w:t xml:space="preserve">, </w:t>
      </w:r>
      <w:r>
        <w:rPr>
          <w:rFonts w:ascii="Times New Roman" w:hAnsi="Times New Roman" w:hint="eastAsia"/>
          <w:i/>
          <w:iCs/>
        </w:rPr>
        <w:t>11</w:t>
      </w:r>
      <w:r>
        <w:rPr>
          <w:rFonts w:ascii="Times New Roman" w:hAnsi="Times New Roman" w:hint="eastAsia"/>
        </w:rPr>
        <w:t>, 2202105.</w:t>
      </w:r>
    </w:p>
    <w:p w14:paraId="471F2DCA" w14:textId="77777777" w:rsidR="00E565B4" w:rsidRDefault="00000000">
      <w:pPr>
        <w:spacing w:line="360" w:lineRule="auto"/>
        <w:jc w:val="both"/>
        <w:rPr>
          <w:rFonts w:ascii="Times New Roman" w:hAnsi="Times New Roman"/>
        </w:rPr>
      </w:pPr>
      <w:r>
        <w:rPr>
          <w:rFonts w:ascii="Times New Roman" w:hAnsi="Times New Roman" w:hint="eastAsia"/>
        </w:rPr>
        <w:t xml:space="preserve">[22] M. X. Bu, Y. Wang, Z. Y. Ni, D. K. Li, D. R. Yang, X. D. Pi, </w:t>
      </w:r>
      <w:r>
        <w:rPr>
          <w:rFonts w:ascii="Times New Roman" w:hAnsi="Times New Roman" w:hint="eastAsia"/>
          <w:i/>
          <w:iCs/>
        </w:rPr>
        <w:t xml:space="preserve">Sci. China Inf. Sci. </w:t>
      </w:r>
      <w:r>
        <w:rPr>
          <w:rFonts w:ascii="Times New Roman" w:hAnsi="Times New Roman" w:hint="eastAsia"/>
          <w:b/>
          <w:bCs/>
        </w:rPr>
        <w:t>2025</w:t>
      </w:r>
      <w:r>
        <w:rPr>
          <w:rFonts w:ascii="Times New Roman" w:hAnsi="Times New Roman" w:hint="eastAsia"/>
        </w:rPr>
        <w:t xml:space="preserve">, </w:t>
      </w:r>
      <w:r>
        <w:rPr>
          <w:rFonts w:ascii="Times New Roman" w:hAnsi="Times New Roman" w:hint="eastAsia"/>
          <w:i/>
          <w:iCs/>
        </w:rPr>
        <w:t>68</w:t>
      </w:r>
      <w:r>
        <w:rPr>
          <w:rFonts w:ascii="Times New Roman" w:hAnsi="Times New Roman" w:hint="eastAsia"/>
        </w:rPr>
        <w:t>, 140402.</w:t>
      </w:r>
    </w:p>
    <w:p w14:paraId="122C6B6A" w14:textId="77777777" w:rsidR="00E565B4" w:rsidRDefault="00000000">
      <w:pPr>
        <w:spacing w:line="360" w:lineRule="auto"/>
        <w:jc w:val="both"/>
        <w:rPr>
          <w:rFonts w:ascii="Times New Roman" w:hAnsi="Times New Roman"/>
        </w:rPr>
      </w:pPr>
      <w:r>
        <w:rPr>
          <w:rFonts w:ascii="Times New Roman" w:hAnsi="Times New Roman" w:hint="eastAsia"/>
        </w:rPr>
        <w:t xml:space="preserve">[23] W. J. Lee, S. H. Sohn, I. K. Park, </w:t>
      </w:r>
      <w:r>
        <w:rPr>
          <w:rFonts w:ascii="Times New Roman" w:hAnsi="Times New Roman" w:hint="eastAsia"/>
          <w:i/>
          <w:iCs/>
        </w:rPr>
        <w:t>Adv. Opt. Mater.</w:t>
      </w:r>
      <w:r>
        <w:rPr>
          <w:rFonts w:ascii="Times New Roman" w:hAnsi="Times New Roman" w:hint="eastAsia"/>
        </w:rPr>
        <w:t xml:space="preserve"> </w:t>
      </w:r>
      <w:r>
        <w:rPr>
          <w:rFonts w:ascii="Times New Roman" w:hAnsi="Times New Roman" w:hint="eastAsia"/>
          <w:b/>
          <w:bCs/>
        </w:rPr>
        <w:t>2025</w:t>
      </w:r>
      <w:r>
        <w:rPr>
          <w:rFonts w:ascii="Times New Roman" w:hAnsi="Times New Roman" w:hint="eastAsia"/>
        </w:rPr>
        <w:t xml:space="preserve">, </w:t>
      </w:r>
      <w:r>
        <w:rPr>
          <w:rFonts w:ascii="Times New Roman" w:hAnsi="Times New Roman" w:hint="eastAsia"/>
          <w:i/>
          <w:iCs/>
        </w:rPr>
        <w:t>13</w:t>
      </w:r>
      <w:r>
        <w:rPr>
          <w:rFonts w:ascii="Times New Roman" w:hAnsi="Times New Roman" w:hint="eastAsia"/>
        </w:rPr>
        <w:t>, 2402636.</w:t>
      </w:r>
    </w:p>
    <w:p w14:paraId="4D216A7E" w14:textId="77777777" w:rsidR="00E565B4" w:rsidRDefault="00000000">
      <w:pPr>
        <w:spacing w:line="360" w:lineRule="auto"/>
        <w:jc w:val="both"/>
        <w:rPr>
          <w:rFonts w:ascii="Times New Roman" w:hAnsi="Times New Roman"/>
        </w:rPr>
      </w:pPr>
      <w:r>
        <w:rPr>
          <w:rFonts w:ascii="Times New Roman" w:hAnsi="Times New Roman" w:hint="eastAsia"/>
        </w:rPr>
        <w:t>[24] Z. Y. Wang, G. Zhang, X. J. Zhang, C. Wu, Z. H. Xia, H. Z. Hu, F. M. Wu, D. Y. Guo, S. L. Wang,</w:t>
      </w:r>
      <w:r>
        <w:rPr>
          <w:rFonts w:ascii="Times New Roman" w:hAnsi="Times New Roman" w:hint="eastAsia"/>
          <w:i/>
          <w:iCs/>
        </w:rPr>
        <w:t xml:space="preserve"> Adv. Opt. Mater. </w:t>
      </w:r>
      <w:r>
        <w:rPr>
          <w:rFonts w:ascii="Times New Roman" w:hAnsi="Times New Roman" w:hint="eastAsia"/>
          <w:b/>
          <w:bCs/>
        </w:rPr>
        <w:t>2024</w:t>
      </w:r>
      <w:r>
        <w:rPr>
          <w:rFonts w:ascii="Times New Roman" w:hAnsi="Times New Roman" w:hint="eastAsia"/>
        </w:rPr>
        <w:t xml:space="preserve">, </w:t>
      </w:r>
      <w:r>
        <w:rPr>
          <w:rFonts w:ascii="Times New Roman" w:hAnsi="Times New Roman" w:hint="eastAsia"/>
          <w:i/>
          <w:iCs/>
        </w:rPr>
        <w:t>12</w:t>
      </w:r>
      <w:r>
        <w:rPr>
          <w:rFonts w:ascii="Times New Roman" w:hAnsi="Times New Roman" w:hint="eastAsia"/>
        </w:rPr>
        <w:t>, 2401256.</w:t>
      </w:r>
    </w:p>
    <w:p w14:paraId="15FF4B54" w14:textId="77777777" w:rsidR="00E565B4" w:rsidRDefault="00000000">
      <w:pPr>
        <w:spacing w:line="360" w:lineRule="auto"/>
        <w:jc w:val="both"/>
        <w:rPr>
          <w:rFonts w:ascii="Times New Roman" w:hAnsi="Times New Roman"/>
        </w:rPr>
      </w:pPr>
      <w:r>
        <w:rPr>
          <w:rFonts w:ascii="Times New Roman" w:hAnsi="Times New Roman" w:hint="eastAsia"/>
        </w:rPr>
        <w:t>[25] H. Tan, Z. Y. Ni, W. B. Peng, S. C. Du, X. K. Liu, S. Y. Zhao, W. Li, Z. Ye, M. S. Xu, Y. Xu, X. D. Pi, D. R. Yang,</w:t>
      </w:r>
      <w:r>
        <w:rPr>
          <w:rFonts w:ascii="Times New Roman" w:hAnsi="Times New Roman" w:hint="eastAsia"/>
          <w:i/>
          <w:iCs/>
        </w:rPr>
        <w:t xml:space="preserve"> Nano Energy </w:t>
      </w:r>
      <w:r>
        <w:rPr>
          <w:rFonts w:ascii="Times New Roman" w:hAnsi="Times New Roman" w:hint="eastAsia"/>
          <w:b/>
          <w:bCs/>
        </w:rPr>
        <w:t>2018</w:t>
      </w:r>
      <w:r>
        <w:rPr>
          <w:rFonts w:ascii="Times New Roman" w:hAnsi="Times New Roman" w:hint="eastAsia"/>
        </w:rPr>
        <w:t>,</w:t>
      </w:r>
      <w:r>
        <w:rPr>
          <w:rFonts w:ascii="Times New Roman" w:hAnsi="Times New Roman" w:hint="eastAsia"/>
          <w:i/>
          <w:iCs/>
        </w:rPr>
        <w:t xml:space="preserve"> 52</w:t>
      </w:r>
      <w:r>
        <w:rPr>
          <w:rFonts w:ascii="Times New Roman" w:hAnsi="Times New Roman" w:hint="eastAsia"/>
        </w:rPr>
        <w:t xml:space="preserve">, 422. </w:t>
      </w:r>
    </w:p>
    <w:p w14:paraId="7DF98A09" w14:textId="77777777" w:rsidR="00E565B4" w:rsidRDefault="00000000">
      <w:pPr>
        <w:spacing w:line="360" w:lineRule="auto"/>
        <w:jc w:val="both"/>
        <w:rPr>
          <w:rFonts w:ascii="Times New Roman" w:hAnsi="Times New Roman"/>
        </w:rPr>
      </w:pPr>
      <w:r>
        <w:rPr>
          <w:rFonts w:ascii="Times New Roman" w:hAnsi="Times New Roman" w:hint="eastAsia"/>
        </w:rPr>
        <w:t xml:space="preserve">[26] M. Lee, S. Nam, B. Cho, O. Kwon, H. U. Lee, M. G. Hahm, U. J. Kim, H. Son, </w:t>
      </w:r>
      <w:r>
        <w:rPr>
          <w:rFonts w:ascii="Times New Roman" w:hAnsi="Times New Roman" w:hint="eastAsia"/>
          <w:i/>
          <w:iCs/>
        </w:rPr>
        <w:t xml:space="preserve">Nano Lett. </w:t>
      </w:r>
      <w:r>
        <w:rPr>
          <w:rFonts w:ascii="Times New Roman" w:hAnsi="Times New Roman" w:hint="eastAsia"/>
          <w:b/>
          <w:bCs/>
        </w:rPr>
        <w:t>2021</w:t>
      </w:r>
      <w:r>
        <w:rPr>
          <w:rFonts w:ascii="Times New Roman" w:hAnsi="Times New Roman" w:hint="eastAsia"/>
        </w:rPr>
        <w:t xml:space="preserve">, </w:t>
      </w:r>
      <w:r>
        <w:rPr>
          <w:rFonts w:ascii="Times New Roman" w:hAnsi="Times New Roman" w:hint="eastAsia"/>
          <w:i/>
          <w:iCs/>
        </w:rPr>
        <w:t>21</w:t>
      </w:r>
      <w:r>
        <w:rPr>
          <w:rFonts w:ascii="Times New Roman" w:hAnsi="Times New Roman" w:hint="eastAsia"/>
        </w:rPr>
        <w:t>, 7879.</w:t>
      </w:r>
    </w:p>
    <w:p w14:paraId="69318822" w14:textId="77777777" w:rsidR="00E565B4" w:rsidRDefault="00000000">
      <w:pPr>
        <w:spacing w:line="360" w:lineRule="auto"/>
        <w:jc w:val="both"/>
        <w:rPr>
          <w:rFonts w:ascii="Times New Roman" w:hAnsi="Times New Roman"/>
        </w:rPr>
      </w:pPr>
      <w:r>
        <w:rPr>
          <w:rFonts w:ascii="Times New Roman" w:hAnsi="Times New Roman" w:hint="eastAsia"/>
        </w:rPr>
        <w:t xml:space="preserve">[27] S. V. Kidalov, F. M. Shakhov, </w:t>
      </w:r>
      <w:r>
        <w:rPr>
          <w:rFonts w:ascii="Times New Roman" w:hAnsi="Times New Roman" w:hint="eastAsia"/>
          <w:i/>
          <w:iCs/>
        </w:rPr>
        <w:t>Materials</w:t>
      </w:r>
      <w:r>
        <w:rPr>
          <w:rFonts w:ascii="Times New Roman" w:hAnsi="Times New Roman" w:hint="eastAsia"/>
        </w:rPr>
        <w:t xml:space="preserve"> </w:t>
      </w:r>
      <w:r>
        <w:rPr>
          <w:rFonts w:ascii="Times New Roman" w:hAnsi="Times New Roman" w:hint="eastAsia"/>
          <w:b/>
          <w:bCs/>
        </w:rPr>
        <w:t>2009</w:t>
      </w:r>
      <w:r>
        <w:rPr>
          <w:rFonts w:ascii="Times New Roman" w:hAnsi="Times New Roman" w:hint="eastAsia"/>
        </w:rPr>
        <w:t xml:space="preserve">, </w:t>
      </w:r>
      <w:r>
        <w:rPr>
          <w:rFonts w:ascii="Times New Roman" w:hAnsi="Times New Roman" w:hint="eastAsia"/>
          <w:i/>
          <w:iCs/>
        </w:rPr>
        <w:t>2</w:t>
      </w:r>
      <w:r>
        <w:rPr>
          <w:rFonts w:ascii="Times New Roman" w:hAnsi="Times New Roman" w:hint="eastAsia"/>
        </w:rPr>
        <w:t>, 2467.</w:t>
      </w:r>
    </w:p>
    <w:p w14:paraId="2C406CC6" w14:textId="77777777" w:rsidR="00E565B4" w:rsidRDefault="00000000">
      <w:pPr>
        <w:spacing w:line="360" w:lineRule="auto"/>
        <w:jc w:val="both"/>
        <w:rPr>
          <w:rFonts w:ascii="Times New Roman" w:hAnsi="Times New Roman"/>
        </w:rPr>
      </w:pPr>
      <w:r>
        <w:rPr>
          <w:rFonts w:ascii="Times New Roman" w:hAnsi="Times New Roman" w:hint="eastAsia"/>
        </w:rPr>
        <w:t>[28] Y. X. Zheng, J. H. Seo,</w:t>
      </w:r>
      <w:r>
        <w:rPr>
          <w:rFonts w:ascii="Times New Roman" w:hAnsi="Times New Roman" w:hint="eastAsia"/>
          <w:i/>
          <w:iCs/>
        </w:rPr>
        <w:t xml:space="preserve"> Nano Ex.</w:t>
      </w:r>
      <w:r>
        <w:rPr>
          <w:rFonts w:ascii="Times New Roman" w:hAnsi="Times New Roman" w:hint="eastAsia"/>
          <w:b/>
          <w:bCs/>
          <w:i/>
          <w:iCs/>
        </w:rPr>
        <w:t xml:space="preserve"> </w:t>
      </w:r>
      <w:r>
        <w:rPr>
          <w:rFonts w:ascii="Times New Roman" w:hAnsi="Times New Roman" w:hint="eastAsia"/>
          <w:b/>
          <w:bCs/>
        </w:rPr>
        <w:t>2020</w:t>
      </w:r>
      <w:r>
        <w:rPr>
          <w:rFonts w:ascii="Times New Roman" w:hAnsi="Times New Roman" w:hint="eastAsia"/>
        </w:rPr>
        <w:t xml:space="preserve">, </w:t>
      </w:r>
      <w:r>
        <w:rPr>
          <w:rFonts w:ascii="Times New Roman" w:hAnsi="Times New Roman" w:hint="eastAsia"/>
          <w:i/>
          <w:iCs/>
        </w:rPr>
        <w:t>1</w:t>
      </w:r>
      <w:r>
        <w:rPr>
          <w:rFonts w:ascii="Times New Roman" w:hAnsi="Times New Roman" w:hint="eastAsia"/>
        </w:rPr>
        <w:t>, 030010.</w:t>
      </w:r>
    </w:p>
    <w:p w14:paraId="3E99BB66" w14:textId="77777777" w:rsidR="00E565B4" w:rsidRDefault="00000000">
      <w:pPr>
        <w:spacing w:line="360" w:lineRule="auto"/>
        <w:jc w:val="both"/>
        <w:rPr>
          <w:rFonts w:ascii="Times New Roman" w:hAnsi="Times New Roman"/>
        </w:rPr>
      </w:pPr>
      <w:r>
        <w:rPr>
          <w:rFonts w:ascii="Times New Roman" w:hAnsi="Times New Roman" w:hint="eastAsia"/>
        </w:rPr>
        <w:lastRenderedPageBreak/>
        <w:t xml:space="preserve">[29] M. Kah, N. Rouger, F. Donatini, C. Masante, F. A. Koeck, R. J. Nemanich, J. Pernot, </w:t>
      </w:r>
      <w:r>
        <w:rPr>
          <w:rFonts w:ascii="Times New Roman" w:hAnsi="Times New Roman" w:hint="eastAsia"/>
          <w:i/>
          <w:iCs/>
        </w:rPr>
        <w:t>IEEE Electr. Device L.</w:t>
      </w:r>
      <w:r>
        <w:rPr>
          <w:rFonts w:ascii="Times New Roman" w:hAnsi="Times New Roman" w:hint="eastAsia"/>
        </w:rPr>
        <w:t xml:space="preserve"> </w:t>
      </w:r>
      <w:r>
        <w:rPr>
          <w:rFonts w:ascii="Times New Roman" w:hAnsi="Times New Roman" w:hint="eastAsia"/>
          <w:b/>
          <w:bCs/>
        </w:rPr>
        <w:t>2024</w:t>
      </w:r>
      <w:r>
        <w:rPr>
          <w:rFonts w:ascii="Times New Roman" w:hAnsi="Times New Roman" w:hint="eastAsia"/>
        </w:rPr>
        <w:t>,</w:t>
      </w:r>
      <w:r>
        <w:rPr>
          <w:rFonts w:ascii="Times New Roman" w:hAnsi="Times New Roman" w:hint="eastAsia"/>
          <w:i/>
          <w:iCs/>
        </w:rPr>
        <w:t xml:space="preserve"> 45</w:t>
      </w:r>
      <w:r>
        <w:rPr>
          <w:rFonts w:ascii="Times New Roman" w:hAnsi="Times New Roman" w:hint="eastAsia"/>
        </w:rPr>
        <w:t>, 1532.</w:t>
      </w:r>
    </w:p>
    <w:p w14:paraId="2AB71F3C" w14:textId="77777777" w:rsidR="00E565B4" w:rsidRDefault="00000000">
      <w:pPr>
        <w:spacing w:line="360" w:lineRule="auto"/>
        <w:jc w:val="both"/>
        <w:rPr>
          <w:rFonts w:ascii="Times New Roman" w:hAnsi="Times New Roman"/>
        </w:rPr>
      </w:pPr>
      <w:r>
        <w:rPr>
          <w:rFonts w:ascii="Times New Roman" w:hAnsi="Times New Roman" w:hint="eastAsia"/>
        </w:rPr>
        <w:t xml:space="preserve">[30] B. B. Li, M. C. Tosin, A. C. Peterlevitz, and V. Baranauskas, </w:t>
      </w:r>
      <w:r>
        <w:rPr>
          <w:rFonts w:ascii="Times New Roman" w:hAnsi="Times New Roman" w:hint="eastAsia"/>
          <w:i/>
          <w:iCs/>
        </w:rPr>
        <w:t>Appl. Phys. Lett.</w:t>
      </w:r>
      <w:r>
        <w:rPr>
          <w:rFonts w:ascii="Times New Roman" w:hAnsi="Times New Roman" w:hint="eastAsia"/>
        </w:rPr>
        <w:t xml:space="preserve"> </w:t>
      </w:r>
      <w:r>
        <w:rPr>
          <w:rFonts w:ascii="Times New Roman" w:hAnsi="Times New Roman" w:hint="eastAsia"/>
          <w:b/>
          <w:bCs/>
        </w:rPr>
        <w:t>1998</w:t>
      </w:r>
      <w:r>
        <w:rPr>
          <w:rFonts w:ascii="Times New Roman" w:hAnsi="Times New Roman" w:hint="eastAsia"/>
        </w:rPr>
        <w:t xml:space="preserve">, </w:t>
      </w:r>
      <w:r>
        <w:rPr>
          <w:rFonts w:ascii="Times New Roman" w:hAnsi="Times New Roman" w:hint="eastAsia"/>
          <w:i/>
          <w:iCs/>
        </w:rPr>
        <w:t>73</w:t>
      </w:r>
      <w:r>
        <w:rPr>
          <w:rFonts w:ascii="Times New Roman" w:hAnsi="Times New Roman" w:hint="eastAsia"/>
        </w:rPr>
        <w:t>, 812.</w:t>
      </w:r>
    </w:p>
    <w:p w14:paraId="4E35F8D8" w14:textId="77777777" w:rsidR="00E565B4" w:rsidRDefault="00000000">
      <w:pPr>
        <w:spacing w:line="360" w:lineRule="auto"/>
        <w:jc w:val="both"/>
        <w:rPr>
          <w:rFonts w:ascii="Times New Roman" w:hAnsi="Times New Roman"/>
        </w:rPr>
      </w:pPr>
      <w:r>
        <w:rPr>
          <w:rFonts w:ascii="Times New Roman" w:hAnsi="Times New Roman" w:hint="eastAsia"/>
        </w:rPr>
        <w:t xml:space="preserve">[31] Y. Kawabata, J. Taniguchi, I. Miyamoto, </w:t>
      </w:r>
      <w:r>
        <w:rPr>
          <w:rFonts w:ascii="Times New Roman" w:hAnsi="Times New Roman" w:hint="eastAsia"/>
          <w:i/>
          <w:iCs/>
        </w:rPr>
        <w:t xml:space="preserve">Diam. Relat. Mater. </w:t>
      </w:r>
      <w:r>
        <w:rPr>
          <w:rFonts w:ascii="Times New Roman" w:hAnsi="Times New Roman" w:hint="eastAsia"/>
          <w:b/>
          <w:bCs/>
        </w:rPr>
        <w:t>2004</w:t>
      </w:r>
      <w:r>
        <w:rPr>
          <w:rFonts w:ascii="Times New Roman" w:hAnsi="Times New Roman" w:hint="eastAsia"/>
        </w:rPr>
        <w:t>,</w:t>
      </w:r>
      <w:r>
        <w:rPr>
          <w:rFonts w:ascii="Times New Roman" w:hAnsi="Times New Roman" w:hint="eastAsia"/>
          <w:i/>
          <w:iCs/>
        </w:rPr>
        <w:t xml:space="preserve"> 13</w:t>
      </w:r>
      <w:r>
        <w:rPr>
          <w:rFonts w:ascii="Times New Roman" w:hAnsi="Times New Roman" w:hint="eastAsia"/>
        </w:rPr>
        <w:t>, 93.</w:t>
      </w:r>
    </w:p>
    <w:p w14:paraId="07984B37" w14:textId="77777777" w:rsidR="00E565B4" w:rsidRDefault="00000000">
      <w:pPr>
        <w:spacing w:line="360" w:lineRule="auto"/>
        <w:jc w:val="both"/>
        <w:rPr>
          <w:rFonts w:ascii="Times New Roman" w:hAnsi="Times New Roman"/>
        </w:rPr>
      </w:pPr>
      <w:r>
        <w:rPr>
          <w:rFonts w:ascii="Times New Roman" w:hAnsi="Times New Roman" w:hint="eastAsia"/>
        </w:rPr>
        <w:t xml:space="preserve">[32] </w:t>
      </w:r>
      <w:r>
        <w:rPr>
          <w:rFonts w:ascii="Times New Roman" w:hAnsi="Times New Roman"/>
        </w:rPr>
        <w:t>V. V. Danilenko</w:t>
      </w:r>
      <w:r>
        <w:rPr>
          <w:rFonts w:ascii="Times New Roman" w:hAnsi="Times New Roman" w:hint="eastAsia"/>
        </w:rPr>
        <w:t>,</w:t>
      </w:r>
      <w:r>
        <w:rPr>
          <w:rFonts w:ascii="Times New Roman" w:hAnsi="Times New Roman" w:hint="eastAsia"/>
          <w:i/>
          <w:iCs/>
        </w:rPr>
        <w:t xml:space="preserve"> Phys. Solid State</w:t>
      </w:r>
      <w:r>
        <w:rPr>
          <w:rFonts w:ascii="Times New Roman" w:hAnsi="Times New Roman" w:hint="eastAsia"/>
          <w:b/>
          <w:bCs/>
        </w:rPr>
        <w:t xml:space="preserve"> 2004</w:t>
      </w:r>
      <w:r>
        <w:rPr>
          <w:rFonts w:ascii="Times New Roman" w:hAnsi="Times New Roman" w:hint="eastAsia"/>
        </w:rPr>
        <w:t xml:space="preserve">, </w:t>
      </w:r>
      <w:r>
        <w:rPr>
          <w:rFonts w:ascii="Times New Roman" w:hAnsi="Times New Roman" w:hint="eastAsia"/>
          <w:i/>
          <w:iCs/>
        </w:rPr>
        <w:t>46</w:t>
      </w:r>
      <w:r>
        <w:rPr>
          <w:rFonts w:ascii="Times New Roman" w:hAnsi="Times New Roman" w:hint="eastAsia"/>
        </w:rPr>
        <w:t>, 711.</w:t>
      </w:r>
    </w:p>
    <w:p w14:paraId="788A4129" w14:textId="77777777" w:rsidR="00E565B4" w:rsidRDefault="00000000">
      <w:pPr>
        <w:spacing w:line="360" w:lineRule="auto"/>
        <w:jc w:val="both"/>
        <w:rPr>
          <w:rFonts w:ascii="Times New Roman" w:hAnsi="Times New Roman"/>
        </w:rPr>
      </w:pPr>
      <w:r>
        <w:rPr>
          <w:rFonts w:ascii="Times New Roman" w:hAnsi="Times New Roman" w:hint="eastAsia"/>
        </w:rPr>
        <w:t>[33] W. Marciniak, K. Fabisiak, S. Orzeszko, F. Rozploch,</w:t>
      </w:r>
      <w:r>
        <w:rPr>
          <w:rFonts w:ascii="Times New Roman" w:hAnsi="Times New Roman" w:hint="eastAsia"/>
          <w:i/>
          <w:iCs/>
        </w:rPr>
        <w:t xml:space="preserve"> J. Cryst. Growth </w:t>
      </w:r>
      <w:r>
        <w:rPr>
          <w:rFonts w:ascii="Times New Roman" w:hAnsi="Times New Roman" w:hint="eastAsia"/>
          <w:b/>
          <w:bCs/>
        </w:rPr>
        <w:t>1992</w:t>
      </w:r>
      <w:r>
        <w:rPr>
          <w:rFonts w:ascii="Times New Roman" w:hAnsi="Times New Roman" w:hint="eastAsia"/>
        </w:rPr>
        <w:t xml:space="preserve">, </w:t>
      </w:r>
      <w:r>
        <w:rPr>
          <w:rFonts w:ascii="Times New Roman" w:hAnsi="Times New Roman" w:hint="eastAsia"/>
          <w:i/>
          <w:iCs/>
        </w:rPr>
        <w:t>123</w:t>
      </w:r>
      <w:r>
        <w:rPr>
          <w:rFonts w:ascii="Times New Roman" w:hAnsi="Times New Roman" w:hint="eastAsia"/>
        </w:rPr>
        <w:t>, 587.</w:t>
      </w:r>
    </w:p>
    <w:p w14:paraId="6AF2CD55" w14:textId="77777777" w:rsidR="00E565B4" w:rsidRDefault="00000000">
      <w:pPr>
        <w:spacing w:line="360" w:lineRule="auto"/>
        <w:jc w:val="both"/>
        <w:rPr>
          <w:rFonts w:ascii="Times New Roman" w:hAnsi="Times New Roman"/>
        </w:rPr>
      </w:pPr>
      <w:r>
        <w:rPr>
          <w:rFonts w:ascii="Times New Roman" w:hAnsi="Times New Roman" w:hint="eastAsia"/>
        </w:rPr>
        <w:t xml:space="preserve">[34] C. G. Park, J. W. Yang, N. M. Hwang, </w:t>
      </w:r>
      <w:r>
        <w:rPr>
          <w:rFonts w:ascii="Times New Roman" w:hAnsi="Times New Roman" w:hint="eastAsia"/>
          <w:i/>
          <w:iCs/>
        </w:rPr>
        <w:t>Electron. Mater. Lett.</w:t>
      </w:r>
      <w:r>
        <w:rPr>
          <w:rFonts w:ascii="Times New Roman" w:hAnsi="Times New Roman" w:hint="eastAsia"/>
          <w:b/>
          <w:bCs/>
        </w:rPr>
        <w:t xml:space="preserve"> 2023</w:t>
      </w:r>
      <w:r>
        <w:rPr>
          <w:rFonts w:ascii="Times New Roman" w:hAnsi="Times New Roman" w:hint="eastAsia"/>
        </w:rPr>
        <w:t xml:space="preserve">, </w:t>
      </w:r>
      <w:r>
        <w:rPr>
          <w:rFonts w:ascii="Times New Roman" w:hAnsi="Times New Roman" w:hint="eastAsia"/>
          <w:i/>
          <w:iCs/>
        </w:rPr>
        <w:t>19</w:t>
      </w:r>
      <w:r>
        <w:rPr>
          <w:rFonts w:ascii="Times New Roman" w:hAnsi="Times New Roman" w:hint="eastAsia"/>
        </w:rPr>
        <w:t xml:space="preserve">, 316. </w:t>
      </w:r>
    </w:p>
    <w:p w14:paraId="7FBC376D" w14:textId="77777777" w:rsidR="00E565B4" w:rsidRDefault="00000000">
      <w:pPr>
        <w:spacing w:line="360" w:lineRule="auto"/>
        <w:jc w:val="both"/>
        <w:rPr>
          <w:rFonts w:ascii="Times New Roman" w:hAnsi="Times New Roman"/>
        </w:rPr>
      </w:pPr>
      <w:r>
        <w:rPr>
          <w:rFonts w:ascii="Times New Roman" w:hAnsi="Times New Roman" w:hint="eastAsia"/>
        </w:rPr>
        <w:t xml:space="preserve">[35] X. G. Li, X. Y. Zhang, Y. Ren, N. Wohrl, W. Lv, H. L. Wang, Z. X. Li, </w:t>
      </w:r>
      <w:r>
        <w:rPr>
          <w:rFonts w:ascii="Times New Roman" w:hAnsi="Times New Roman" w:hint="eastAsia"/>
          <w:i/>
          <w:iCs/>
        </w:rPr>
        <w:t xml:space="preserve">Ceram. Int. </w:t>
      </w:r>
      <w:r>
        <w:rPr>
          <w:rFonts w:ascii="Times New Roman" w:hAnsi="Times New Roman" w:hint="eastAsia"/>
          <w:b/>
          <w:bCs/>
        </w:rPr>
        <w:t>2025</w:t>
      </w:r>
      <w:r>
        <w:rPr>
          <w:rFonts w:ascii="Times New Roman" w:hAnsi="Times New Roman" w:hint="eastAsia"/>
        </w:rPr>
        <w:t>,</w:t>
      </w:r>
      <w:r>
        <w:rPr>
          <w:rFonts w:ascii="Times New Roman" w:hAnsi="Times New Roman" w:hint="eastAsia"/>
          <w:i/>
          <w:iCs/>
        </w:rPr>
        <w:t xml:space="preserve"> 51</w:t>
      </w:r>
      <w:r>
        <w:rPr>
          <w:rFonts w:ascii="Times New Roman" w:hAnsi="Times New Roman" w:hint="eastAsia"/>
        </w:rPr>
        <w:t>, 3029.</w:t>
      </w:r>
    </w:p>
    <w:p w14:paraId="72A7530C" w14:textId="77777777" w:rsidR="00E565B4" w:rsidRDefault="00000000">
      <w:pPr>
        <w:spacing w:line="360" w:lineRule="auto"/>
        <w:jc w:val="both"/>
      </w:pPr>
      <w:r>
        <w:rPr>
          <w:rFonts w:ascii="Times New Roman" w:hAnsi="Times New Roman" w:hint="eastAsia"/>
        </w:rPr>
        <w:t xml:space="preserve">[36] J. P. Wang, Y. Z. Su, Y. Tian, X. J. Xiang, J. W. Zhang, S. Q. Li, D. W. He, </w:t>
      </w:r>
      <w:r>
        <w:rPr>
          <w:rFonts w:ascii="Times New Roman" w:hAnsi="Times New Roman" w:hint="eastAsia"/>
          <w:i/>
          <w:iCs/>
        </w:rPr>
        <w:t xml:space="preserve">Carbon </w:t>
      </w:r>
      <w:r>
        <w:rPr>
          <w:rFonts w:ascii="Times New Roman" w:hAnsi="Times New Roman" w:hint="eastAsia"/>
          <w:b/>
          <w:bCs/>
        </w:rPr>
        <w:t>2021</w:t>
      </w:r>
      <w:r>
        <w:rPr>
          <w:rFonts w:ascii="Times New Roman" w:hAnsi="Times New Roman" w:hint="eastAsia"/>
        </w:rPr>
        <w:t xml:space="preserve">, </w:t>
      </w:r>
      <w:r>
        <w:rPr>
          <w:rFonts w:ascii="Times New Roman" w:hAnsi="Times New Roman" w:hint="eastAsia"/>
          <w:i/>
          <w:iCs/>
        </w:rPr>
        <w:t>183</w:t>
      </w:r>
      <w:r>
        <w:rPr>
          <w:rFonts w:ascii="Times New Roman" w:hAnsi="Times New Roman" w:hint="eastAsia"/>
        </w:rPr>
        <w:t xml:space="preserve">, 259. </w:t>
      </w:r>
    </w:p>
    <w:p w14:paraId="1829D658"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[37] D. P. Riley, </w:t>
      </w:r>
      <w:r>
        <w:rPr>
          <w:rFonts w:ascii="Times New Roman" w:hAnsi="Times New Roman" w:hint="eastAsia"/>
          <w:i/>
          <w:iCs/>
        </w:rPr>
        <w:t>Nature</w:t>
      </w:r>
      <w:r>
        <w:rPr>
          <w:rFonts w:ascii="Times New Roman" w:hAnsi="Times New Roman" w:hint="eastAsia"/>
          <w:b/>
          <w:bCs/>
        </w:rPr>
        <w:t xml:space="preserve"> 1944</w:t>
      </w:r>
      <w:r>
        <w:rPr>
          <w:rFonts w:ascii="Times New Roman" w:hAnsi="Times New Roman" w:hint="eastAsia"/>
        </w:rPr>
        <w:t xml:space="preserve">, </w:t>
      </w:r>
      <w:r>
        <w:rPr>
          <w:rFonts w:ascii="Times New Roman" w:hAnsi="Times New Roman" w:hint="eastAsia"/>
          <w:i/>
          <w:iCs/>
        </w:rPr>
        <w:t>153</w:t>
      </w:r>
      <w:r>
        <w:rPr>
          <w:rFonts w:ascii="Times New Roman" w:hAnsi="Times New Roman" w:hint="eastAsia"/>
        </w:rPr>
        <w:t>, 587.</w:t>
      </w:r>
    </w:p>
    <w:p w14:paraId="18109F80"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[38] X. L. Shen, K. P. Wu, H. Y. Sun, L. W. Sang, Z. H. Huang, M. Imura, Y. Koide, S. Koizumi, M. Y. Liao, </w:t>
      </w:r>
      <w:r>
        <w:rPr>
          <w:rFonts w:ascii="Times New Roman" w:hAnsi="Times New Roman" w:hint="eastAsia"/>
          <w:i/>
          <w:iCs/>
        </w:rPr>
        <w:t>Diam. Relat. Mater.</w:t>
      </w:r>
      <w:r>
        <w:rPr>
          <w:rFonts w:ascii="Times New Roman" w:hAnsi="Times New Roman" w:hint="eastAsia"/>
          <w:b/>
          <w:bCs/>
        </w:rPr>
        <w:t xml:space="preserve"> 2021</w:t>
      </w:r>
      <w:r>
        <w:rPr>
          <w:rFonts w:ascii="Times New Roman" w:hAnsi="Times New Roman" w:hint="eastAsia"/>
        </w:rPr>
        <w:t xml:space="preserve">, </w:t>
      </w:r>
      <w:r>
        <w:rPr>
          <w:rFonts w:ascii="Times New Roman" w:hAnsi="Times New Roman" w:hint="eastAsia"/>
          <w:i/>
          <w:iCs/>
        </w:rPr>
        <w:t>116</w:t>
      </w:r>
      <w:r>
        <w:rPr>
          <w:rFonts w:ascii="Times New Roman" w:hAnsi="Times New Roman" w:hint="eastAsia"/>
        </w:rPr>
        <w:t>, 108403.</w:t>
      </w:r>
    </w:p>
    <w:p w14:paraId="50C3A773"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[39] V. A. DavydovA, V. Rakhmanina, S. Rols, V. Agafonov, M. X. Pulikkathara, R. L. Vander Wal, V. N. Khabashesku, </w:t>
      </w:r>
      <w:r>
        <w:rPr>
          <w:rFonts w:ascii="Times New Roman" w:hAnsi="Times New Roman" w:hint="eastAsia"/>
          <w:i/>
          <w:iCs/>
        </w:rPr>
        <w:t>J. Phys. Chem. C</w:t>
      </w:r>
      <w:r>
        <w:rPr>
          <w:rFonts w:ascii="Times New Roman" w:hAnsi="Times New Roman" w:hint="eastAsia"/>
        </w:rPr>
        <w:t xml:space="preserve"> </w:t>
      </w:r>
      <w:r>
        <w:rPr>
          <w:rFonts w:ascii="Times New Roman" w:hAnsi="Times New Roman" w:hint="eastAsia"/>
          <w:b/>
          <w:bCs/>
        </w:rPr>
        <w:t>2007</w:t>
      </w:r>
      <w:r>
        <w:rPr>
          <w:rFonts w:ascii="Times New Roman" w:hAnsi="Times New Roman" w:hint="eastAsia"/>
        </w:rPr>
        <w:t xml:space="preserve">, </w:t>
      </w:r>
      <w:r>
        <w:rPr>
          <w:rFonts w:ascii="Times New Roman" w:hAnsi="Times New Roman" w:hint="eastAsia"/>
          <w:i/>
          <w:iCs/>
        </w:rPr>
        <w:t>111</w:t>
      </w:r>
      <w:r>
        <w:rPr>
          <w:rFonts w:ascii="Times New Roman" w:hAnsi="Times New Roman" w:hint="eastAsia"/>
        </w:rPr>
        <w:t>, 12918.</w:t>
      </w:r>
    </w:p>
    <w:p w14:paraId="7CFBB839" w14:textId="77777777" w:rsidR="00E565B4" w:rsidRDefault="00000000">
      <w:pPr>
        <w:widowControl w:val="0"/>
        <w:spacing w:line="360" w:lineRule="auto"/>
        <w:jc w:val="both"/>
        <w:rPr>
          <w:rFonts w:ascii="Times New Roman" w:hAnsi="Times New Roman"/>
        </w:rPr>
      </w:pPr>
      <w:r>
        <w:rPr>
          <w:rFonts w:ascii="Times New Roman" w:hAnsi="Times New Roman" w:hint="eastAsia"/>
        </w:rPr>
        <w:t>[40] G. Manikandan, G. Murugan, K. Raghukandan,</w:t>
      </w:r>
      <w:r>
        <w:rPr>
          <w:rFonts w:ascii="Times New Roman" w:hAnsi="Times New Roman" w:hint="eastAsia"/>
          <w:i/>
          <w:iCs/>
        </w:rPr>
        <w:t xml:space="preserve"> Indian J. Sci. Tech</w:t>
      </w:r>
      <w:r>
        <w:rPr>
          <w:rFonts w:ascii="Times New Roman" w:hAnsi="Times New Roman" w:hint="eastAsia"/>
        </w:rPr>
        <w:t xml:space="preserve">. </w:t>
      </w:r>
      <w:r>
        <w:rPr>
          <w:rFonts w:ascii="Times New Roman" w:hAnsi="Times New Roman" w:hint="eastAsia"/>
          <w:b/>
          <w:bCs/>
        </w:rPr>
        <w:t>2016</w:t>
      </w:r>
      <w:r>
        <w:rPr>
          <w:rFonts w:ascii="Times New Roman" w:hAnsi="Times New Roman" w:hint="eastAsia"/>
        </w:rPr>
        <w:t xml:space="preserve">, </w:t>
      </w:r>
      <w:r>
        <w:rPr>
          <w:rFonts w:ascii="Times New Roman" w:hAnsi="Times New Roman" w:hint="eastAsia"/>
          <w:i/>
          <w:iCs/>
        </w:rPr>
        <w:t>9</w:t>
      </w:r>
      <w:r>
        <w:rPr>
          <w:rFonts w:ascii="Times New Roman" w:hAnsi="Times New Roman" w:hint="eastAsia"/>
        </w:rPr>
        <w:t xml:space="preserve">, 1. </w:t>
      </w:r>
    </w:p>
    <w:p w14:paraId="5FD74D8E" w14:textId="77777777" w:rsidR="00E565B4" w:rsidRDefault="00000000">
      <w:pPr>
        <w:widowControl w:val="0"/>
        <w:spacing w:line="360" w:lineRule="auto"/>
        <w:jc w:val="both"/>
        <w:rPr>
          <w:rFonts w:ascii="Times New Roman" w:hAnsi="Times New Roman"/>
        </w:rPr>
      </w:pPr>
      <w:r>
        <w:rPr>
          <w:rFonts w:ascii="Times New Roman" w:hAnsi="Times New Roman" w:hint="eastAsia"/>
        </w:rPr>
        <w:t>[41] C. N. Lin, Y. J. Lu, X. Yang, Y. Z. Tian, C. J. Gao, J. L. Sun, L. Dong, F. Zhong, W. D. Hu, C. X. Shan,</w:t>
      </w:r>
      <w:r>
        <w:rPr>
          <w:rFonts w:ascii="Times New Roman" w:hAnsi="Times New Roman" w:hint="eastAsia"/>
          <w:i/>
          <w:iCs/>
        </w:rPr>
        <w:t xml:space="preserve"> Adv. Opt. Mater.</w:t>
      </w:r>
      <w:r>
        <w:rPr>
          <w:rFonts w:ascii="Times New Roman" w:hAnsi="Times New Roman" w:hint="eastAsia"/>
        </w:rPr>
        <w:t xml:space="preserve"> </w:t>
      </w:r>
      <w:r>
        <w:rPr>
          <w:rFonts w:ascii="Times New Roman" w:hAnsi="Times New Roman" w:hint="eastAsia"/>
          <w:b/>
          <w:bCs/>
        </w:rPr>
        <w:t>2018</w:t>
      </w:r>
      <w:r>
        <w:rPr>
          <w:rFonts w:ascii="Times New Roman" w:hAnsi="Times New Roman" w:hint="eastAsia"/>
        </w:rPr>
        <w:t xml:space="preserve">, </w:t>
      </w:r>
      <w:r>
        <w:rPr>
          <w:rFonts w:ascii="Times New Roman" w:hAnsi="Times New Roman" w:hint="eastAsia"/>
          <w:i/>
          <w:iCs/>
        </w:rPr>
        <w:t>6</w:t>
      </w:r>
      <w:r>
        <w:rPr>
          <w:rFonts w:ascii="Times New Roman" w:hAnsi="Times New Roman" w:hint="eastAsia"/>
        </w:rPr>
        <w:t>, 1800068.</w:t>
      </w:r>
    </w:p>
    <w:p w14:paraId="61C71B53"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[42] C. N. Lin, Z. F. Zhang, Y. J. Lu, X. Yang, Y. Zhang, X. Li, J. H. Zang, X. C. Pang, L. Dong, C. X. Shan, </w:t>
      </w:r>
      <w:r>
        <w:rPr>
          <w:rFonts w:ascii="Times New Roman" w:hAnsi="Times New Roman" w:hint="eastAsia"/>
          <w:i/>
          <w:iCs/>
        </w:rPr>
        <w:t>Carbon</w:t>
      </w:r>
      <w:r>
        <w:rPr>
          <w:rFonts w:ascii="Times New Roman" w:hAnsi="Times New Roman" w:hint="eastAsia"/>
        </w:rPr>
        <w:t xml:space="preserve"> </w:t>
      </w:r>
      <w:r>
        <w:rPr>
          <w:rFonts w:ascii="Times New Roman" w:hAnsi="Times New Roman" w:hint="eastAsia"/>
          <w:b/>
          <w:bCs/>
        </w:rPr>
        <w:t>2022</w:t>
      </w:r>
      <w:r>
        <w:rPr>
          <w:rFonts w:ascii="Times New Roman" w:hAnsi="Times New Roman" w:hint="eastAsia"/>
        </w:rPr>
        <w:t xml:space="preserve">, </w:t>
      </w:r>
      <w:r>
        <w:rPr>
          <w:rFonts w:ascii="Times New Roman" w:hAnsi="Times New Roman" w:hint="eastAsia"/>
          <w:i/>
          <w:iCs/>
        </w:rPr>
        <w:t>200</w:t>
      </w:r>
      <w:r>
        <w:rPr>
          <w:rFonts w:ascii="Times New Roman" w:hAnsi="Times New Roman" w:hint="eastAsia"/>
        </w:rPr>
        <w:t>, 510.</w:t>
      </w:r>
    </w:p>
    <w:p w14:paraId="2E7017B8" w14:textId="77777777" w:rsidR="00E565B4" w:rsidRDefault="00000000">
      <w:pPr>
        <w:widowControl w:val="0"/>
        <w:spacing w:line="360" w:lineRule="auto"/>
        <w:jc w:val="both"/>
        <w:rPr>
          <w:rFonts w:ascii="Times New Roman" w:hAnsi="Times New Roman"/>
        </w:rPr>
      </w:pPr>
      <w:r>
        <w:rPr>
          <w:rFonts w:ascii="Times New Roman" w:hAnsi="Times New Roman" w:hint="eastAsia"/>
        </w:rPr>
        <w:t>[43] P. Achatz, J. A. Garrido, M. Stutzmann, O. A. Williams, D. M. Gruen, A. Kromka, D. Steinm</w:t>
      </w:r>
      <w:r>
        <w:rPr>
          <w:rFonts w:ascii="Times New Roman" w:hAnsi="Times New Roman" w:hint="eastAsia"/>
        </w:rPr>
        <w:t>ü</w:t>
      </w:r>
      <w:r>
        <w:rPr>
          <w:rFonts w:ascii="Times New Roman" w:hAnsi="Times New Roman" w:hint="eastAsia"/>
        </w:rPr>
        <w:t xml:space="preserve">ller, </w:t>
      </w:r>
      <w:r>
        <w:rPr>
          <w:rFonts w:ascii="Times New Roman" w:hAnsi="Times New Roman" w:hint="eastAsia"/>
          <w:i/>
          <w:iCs/>
        </w:rPr>
        <w:t>Appl. Phys. Lett.</w:t>
      </w:r>
      <w:r>
        <w:rPr>
          <w:rFonts w:ascii="Times New Roman" w:hAnsi="Times New Roman" w:hint="eastAsia"/>
        </w:rPr>
        <w:t xml:space="preserve"> </w:t>
      </w:r>
      <w:r>
        <w:rPr>
          <w:rFonts w:ascii="Times New Roman" w:hAnsi="Times New Roman" w:hint="eastAsia"/>
          <w:b/>
          <w:bCs/>
        </w:rPr>
        <w:t>2006</w:t>
      </w:r>
      <w:r>
        <w:rPr>
          <w:rFonts w:ascii="Times New Roman" w:hAnsi="Times New Roman" w:hint="eastAsia"/>
        </w:rPr>
        <w:t xml:space="preserve">, </w:t>
      </w:r>
      <w:r>
        <w:rPr>
          <w:rFonts w:ascii="Times New Roman" w:hAnsi="Times New Roman" w:hint="eastAsia"/>
          <w:i/>
          <w:iCs/>
        </w:rPr>
        <w:t>88</w:t>
      </w:r>
      <w:r>
        <w:rPr>
          <w:rFonts w:ascii="Times New Roman" w:hAnsi="Times New Roman" w:hint="eastAsia"/>
        </w:rPr>
        <w:t>, 101908.</w:t>
      </w:r>
    </w:p>
    <w:p w14:paraId="1D4ABC25"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[44] A. N. Obraztsov, H. Okushi, H. Watanabe, I. Yu. Pavlovsky, </w:t>
      </w:r>
      <w:r>
        <w:rPr>
          <w:rFonts w:ascii="Times New Roman" w:hAnsi="Times New Roman" w:hint="eastAsia"/>
          <w:i/>
          <w:iCs/>
        </w:rPr>
        <w:t xml:space="preserve">Diam. Relat. Mater. </w:t>
      </w:r>
      <w:r>
        <w:rPr>
          <w:rFonts w:ascii="Times New Roman" w:hAnsi="Times New Roman" w:hint="eastAsia"/>
          <w:b/>
          <w:bCs/>
        </w:rPr>
        <w:t>1997</w:t>
      </w:r>
      <w:r>
        <w:rPr>
          <w:rFonts w:ascii="Times New Roman" w:hAnsi="Times New Roman" w:hint="eastAsia"/>
        </w:rPr>
        <w:t xml:space="preserve">, </w:t>
      </w:r>
      <w:r>
        <w:rPr>
          <w:rFonts w:ascii="Times New Roman" w:hAnsi="Times New Roman" w:hint="eastAsia"/>
          <w:i/>
          <w:iCs/>
        </w:rPr>
        <w:t>6</w:t>
      </w:r>
      <w:r>
        <w:rPr>
          <w:rFonts w:ascii="Times New Roman" w:hAnsi="Times New Roman" w:hint="eastAsia"/>
        </w:rPr>
        <w:t>, 1124.</w:t>
      </w:r>
    </w:p>
    <w:p w14:paraId="5720AA29" w14:textId="77777777" w:rsidR="00E565B4" w:rsidRDefault="00000000">
      <w:pPr>
        <w:widowControl w:val="0"/>
        <w:spacing w:line="360" w:lineRule="auto"/>
        <w:jc w:val="both"/>
        <w:rPr>
          <w:rFonts w:ascii="Times New Roman" w:hAnsi="Times New Roman"/>
        </w:rPr>
      </w:pPr>
      <w:r>
        <w:rPr>
          <w:rFonts w:ascii="Times New Roman" w:hAnsi="Times New Roman" w:hint="eastAsia"/>
        </w:rPr>
        <w:t>[45] S. Subedi, V. Fedorov, S. Mirov, M. Markham,</w:t>
      </w:r>
      <w:r>
        <w:rPr>
          <w:rFonts w:ascii="Times New Roman" w:hAnsi="Times New Roman" w:hint="eastAsia"/>
          <w:i/>
          <w:iCs/>
        </w:rPr>
        <w:t xml:space="preserve"> Opt. Mater. Express </w:t>
      </w:r>
      <w:r>
        <w:rPr>
          <w:rFonts w:ascii="Times New Roman" w:hAnsi="Times New Roman" w:hint="eastAsia"/>
          <w:b/>
          <w:bCs/>
        </w:rPr>
        <w:t>2021</w:t>
      </w:r>
      <w:r>
        <w:rPr>
          <w:rFonts w:ascii="Times New Roman" w:hAnsi="Times New Roman" w:hint="eastAsia"/>
        </w:rPr>
        <w:t xml:space="preserve">, </w:t>
      </w:r>
      <w:r>
        <w:rPr>
          <w:rFonts w:ascii="Times New Roman" w:hAnsi="Times New Roman" w:hint="eastAsia"/>
          <w:i/>
          <w:iCs/>
        </w:rPr>
        <w:t>11</w:t>
      </w:r>
      <w:r>
        <w:rPr>
          <w:rFonts w:ascii="Times New Roman" w:hAnsi="Times New Roman" w:hint="eastAsia"/>
        </w:rPr>
        <w:t>, 757.</w:t>
      </w:r>
    </w:p>
    <w:p w14:paraId="1B2CD51E"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[46] K. Y. Wang, S. John, Z. H. Li, </w:t>
      </w:r>
      <w:r>
        <w:rPr>
          <w:rFonts w:ascii="Times New Roman" w:hAnsi="Times New Roman" w:hint="eastAsia"/>
          <w:i/>
          <w:iCs/>
        </w:rPr>
        <w:t>Diam.Relat. Mater.</w:t>
      </w:r>
      <w:r>
        <w:rPr>
          <w:rFonts w:ascii="Times New Roman" w:hAnsi="Times New Roman" w:hint="eastAsia"/>
        </w:rPr>
        <w:t xml:space="preserve"> </w:t>
      </w:r>
      <w:r>
        <w:rPr>
          <w:rFonts w:ascii="Times New Roman" w:hAnsi="Times New Roman" w:hint="eastAsia"/>
          <w:b/>
          <w:bCs/>
        </w:rPr>
        <w:t>2012</w:t>
      </w:r>
      <w:r>
        <w:rPr>
          <w:rFonts w:ascii="Times New Roman" w:hAnsi="Times New Roman" w:hint="eastAsia"/>
        </w:rPr>
        <w:t>,</w:t>
      </w:r>
      <w:r>
        <w:rPr>
          <w:rFonts w:ascii="Times New Roman" w:hAnsi="Times New Roman" w:hint="eastAsia"/>
          <w:i/>
          <w:iCs/>
        </w:rPr>
        <w:t xml:space="preserve"> 23</w:t>
      </w:r>
      <w:r>
        <w:rPr>
          <w:rFonts w:ascii="Times New Roman" w:hAnsi="Times New Roman" w:hint="eastAsia"/>
        </w:rPr>
        <w:t>, 162.</w:t>
      </w:r>
    </w:p>
    <w:p w14:paraId="21F89ACB"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[47] Iu. Nasieka, V. Strelchuk, M. Boyko, V. Voevodin, A. Vierovkin, A. Rybka, V. </w:t>
      </w:r>
      <w:r>
        <w:rPr>
          <w:rFonts w:ascii="Times New Roman" w:hAnsi="Times New Roman" w:hint="eastAsia"/>
        </w:rPr>
        <w:lastRenderedPageBreak/>
        <w:t>Kutniy, S. Dudnik, V. Gritsina, O. Opalev, V. Strel</w:t>
      </w:r>
      <w:r>
        <w:rPr>
          <w:rFonts w:ascii="Times New Roman" w:hAnsi="Times New Roman"/>
        </w:rPr>
        <w:t>’</w:t>
      </w:r>
      <w:r>
        <w:rPr>
          <w:rFonts w:ascii="Times New Roman" w:hAnsi="Times New Roman" w:hint="eastAsia"/>
        </w:rPr>
        <w:t xml:space="preserve">nitskij, </w:t>
      </w:r>
      <w:r>
        <w:rPr>
          <w:rFonts w:ascii="Times New Roman" w:hAnsi="Times New Roman" w:hint="eastAsia"/>
          <w:i/>
          <w:iCs/>
        </w:rPr>
        <w:t xml:space="preserve">Sensor Actuat. A-Phys. </w:t>
      </w:r>
      <w:r>
        <w:rPr>
          <w:rFonts w:ascii="Times New Roman" w:hAnsi="Times New Roman" w:hint="eastAsia"/>
          <w:b/>
          <w:bCs/>
        </w:rPr>
        <w:t>2015</w:t>
      </w:r>
      <w:r>
        <w:rPr>
          <w:rFonts w:ascii="Times New Roman" w:hAnsi="Times New Roman" w:hint="eastAsia"/>
        </w:rPr>
        <w:t>,</w:t>
      </w:r>
      <w:r>
        <w:rPr>
          <w:rFonts w:ascii="Times New Roman" w:hAnsi="Times New Roman" w:hint="eastAsia"/>
          <w:i/>
          <w:iCs/>
        </w:rPr>
        <w:t xml:space="preserve"> 223</w:t>
      </w:r>
      <w:r>
        <w:rPr>
          <w:rFonts w:ascii="Times New Roman" w:hAnsi="Times New Roman" w:hint="eastAsia"/>
        </w:rPr>
        <w:t>, 18.</w:t>
      </w:r>
    </w:p>
    <w:p w14:paraId="59572EBE"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[48] W. X. Zhang, X. H. Niu, X. F. Chen, X. X. Guo, J. L. Wang, J. Y. Fan, </w:t>
      </w:r>
      <w:r>
        <w:rPr>
          <w:rFonts w:ascii="Times New Roman" w:hAnsi="Times New Roman" w:hint="eastAsia"/>
          <w:i/>
          <w:iCs/>
        </w:rPr>
        <w:t>Carbon</w:t>
      </w:r>
      <w:r>
        <w:rPr>
          <w:rFonts w:ascii="Times New Roman" w:hAnsi="Times New Roman" w:hint="eastAsia"/>
        </w:rPr>
        <w:t xml:space="preserve"> </w:t>
      </w:r>
      <w:r>
        <w:rPr>
          <w:rFonts w:ascii="Times New Roman" w:hAnsi="Times New Roman" w:hint="eastAsia"/>
          <w:b/>
          <w:bCs/>
        </w:rPr>
        <w:t>2016</w:t>
      </w:r>
      <w:r>
        <w:rPr>
          <w:rFonts w:ascii="Times New Roman" w:hAnsi="Times New Roman" w:hint="eastAsia"/>
        </w:rPr>
        <w:t xml:space="preserve">, </w:t>
      </w:r>
      <w:r>
        <w:rPr>
          <w:rFonts w:ascii="Times New Roman" w:hAnsi="Times New Roman" w:hint="eastAsia"/>
          <w:i/>
          <w:iCs/>
        </w:rPr>
        <w:t>109</w:t>
      </w:r>
      <w:r>
        <w:rPr>
          <w:rFonts w:ascii="Times New Roman" w:hAnsi="Times New Roman" w:hint="eastAsia"/>
        </w:rPr>
        <w:t xml:space="preserve">, 40. </w:t>
      </w:r>
    </w:p>
    <w:p w14:paraId="00A9166E"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[49] S. A. Solin, A. K. Ramdas, Raman spectrum of diamond, </w:t>
      </w:r>
      <w:r>
        <w:rPr>
          <w:rFonts w:ascii="Times New Roman" w:hAnsi="Times New Roman" w:hint="eastAsia"/>
          <w:i/>
          <w:iCs/>
        </w:rPr>
        <w:t>Phys. Rev. B</w:t>
      </w:r>
      <w:r>
        <w:rPr>
          <w:rFonts w:ascii="Times New Roman" w:hAnsi="Times New Roman" w:hint="eastAsia"/>
        </w:rPr>
        <w:t xml:space="preserve"> </w:t>
      </w:r>
      <w:r>
        <w:rPr>
          <w:rFonts w:ascii="Times New Roman" w:hAnsi="Times New Roman" w:hint="eastAsia"/>
          <w:b/>
          <w:bCs/>
        </w:rPr>
        <w:t>1970</w:t>
      </w:r>
      <w:r>
        <w:rPr>
          <w:rFonts w:ascii="Times New Roman" w:hAnsi="Times New Roman" w:hint="eastAsia"/>
        </w:rPr>
        <w:t xml:space="preserve">, </w:t>
      </w:r>
      <w:r>
        <w:rPr>
          <w:rFonts w:ascii="Times New Roman" w:hAnsi="Times New Roman" w:hint="eastAsia"/>
          <w:i/>
          <w:iCs/>
        </w:rPr>
        <w:t>1</w:t>
      </w:r>
      <w:r>
        <w:rPr>
          <w:rFonts w:ascii="Times New Roman" w:hAnsi="Times New Roman" w:hint="eastAsia"/>
        </w:rPr>
        <w:t>, 1687.</w:t>
      </w:r>
    </w:p>
    <w:p w14:paraId="71CE208C"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[50] </w:t>
      </w:r>
      <w:r>
        <w:rPr>
          <w:rFonts w:ascii="Times New Roman" w:hAnsi="Times New Roman"/>
        </w:rPr>
        <w:t>V</w:t>
      </w:r>
      <w:r>
        <w:rPr>
          <w:rFonts w:ascii="Times New Roman" w:hAnsi="Times New Roman" w:hint="eastAsia"/>
        </w:rPr>
        <w:t>.</w:t>
      </w:r>
      <w:r>
        <w:rPr>
          <w:rFonts w:ascii="Times New Roman" w:hAnsi="Times New Roman"/>
        </w:rPr>
        <w:t xml:space="preserve"> K. Shukl</w:t>
      </w:r>
      <w:r>
        <w:rPr>
          <w:rFonts w:ascii="Times New Roman" w:hAnsi="Times New Roman" w:hint="eastAsia"/>
        </w:rPr>
        <w:t xml:space="preserve">a, </w:t>
      </w:r>
      <w:r>
        <w:rPr>
          <w:rFonts w:ascii="Times New Roman" w:hAnsi="Times New Roman"/>
        </w:rPr>
        <w:t>Lekshmi J</w:t>
      </w:r>
      <w:r>
        <w:rPr>
          <w:rFonts w:ascii="Times New Roman" w:hAnsi="Times New Roman" w:hint="eastAsia"/>
        </w:rPr>
        <w:t xml:space="preserve">, </w:t>
      </w:r>
      <w:r>
        <w:rPr>
          <w:rFonts w:ascii="Times New Roman" w:hAnsi="Times New Roman"/>
        </w:rPr>
        <w:t>Brajesh S. Yadav</w:t>
      </w:r>
      <w:r>
        <w:rPr>
          <w:rFonts w:ascii="Times New Roman" w:hAnsi="Times New Roman" w:hint="eastAsia"/>
        </w:rPr>
        <w:t xml:space="preserve">, </w:t>
      </w:r>
      <w:r>
        <w:rPr>
          <w:rFonts w:ascii="Times New Roman" w:hAnsi="Times New Roman"/>
        </w:rPr>
        <w:t>Monika Kumari</w:t>
      </w:r>
      <w:r>
        <w:rPr>
          <w:rFonts w:ascii="Times New Roman" w:hAnsi="Times New Roman" w:hint="eastAsia"/>
        </w:rPr>
        <w:t>,</w:t>
      </w:r>
      <w:r>
        <w:rPr>
          <w:rFonts w:ascii="Times New Roman" w:hAnsi="Times New Roman"/>
        </w:rPr>
        <w:t xml:space="preserve"> Sandeep Dalal</w:t>
      </w:r>
      <w:r>
        <w:rPr>
          <w:rFonts w:ascii="Times New Roman" w:hAnsi="Times New Roman" w:hint="eastAsia"/>
        </w:rPr>
        <w:t xml:space="preserve">, </w:t>
      </w:r>
      <w:r>
        <w:rPr>
          <w:rFonts w:ascii="Times New Roman" w:hAnsi="Times New Roman"/>
        </w:rPr>
        <w:t>Anshu Goyal</w:t>
      </w:r>
      <w:r>
        <w:rPr>
          <w:rFonts w:ascii="Times New Roman" w:hAnsi="Times New Roman" w:hint="eastAsia"/>
        </w:rPr>
        <w:t xml:space="preserve">, </w:t>
      </w:r>
      <w:r>
        <w:rPr>
          <w:rFonts w:ascii="Times New Roman" w:hAnsi="Times New Roman"/>
        </w:rPr>
        <w:t>Padmnabh Rai</w:t>
      </w:r>
      <w:r>
        <w:rPr>
          <w:rFonts w:ascii="Times New Roman" w:hAnsi="Times New Roman" w:hint="eastAsia"/>
        </w:rPr>
        <w:t xml:space="preserve">, Int. J. Refract. Met. H. </w:t>
      </w:r>
      <w:r>
        <w:rPr>
          <w:rFonts w:ascii="Times New Roman" w:hAnsi="Times New Roman" w:hint="eastAsia"/>
          <w:b/>
          <w:bCs/>
        </w:rPr>
        <w:t>2024</w:t>
      </w:r>
      <w:r>
        <w:rPr>
          <w:rFonts w:ascii="Times New Roman" w:hAnsi="Times New Roman" w:hint="eastAsia"/>
        </w:rPr>
        <w:t xml:space="preserve">, </w:t>
      </w:r>
      <w:r>
        <w:rPr>
          <w:rFonts w:ascii="Times New Roman" w:hAnsi="Times New Roman" w:hint="eastAsia"/>
          <w:i/>
          <w:iCs/>
        </w:rPr>
        <w:t>119</w:t>
      </w:r>
      <w:r>
        <w:rPr>
          <w:rFonts w:ascii="Times New Roman" w:hAnsi="Times New Roman" w:hint="eastAsia"/>
        </w:rPr>
        <w:t>, 106559.</w:t>
      </w:r>
    </w:p>
    <w:p w14:paraId="0BC3899C" w14:textId="77777777" w:rsidR="00E565B4" w:rsidRDefault="00000000">
      <w:pPr>
        <w:widowControl w:val="0"/>
        <w:spacing w:line="360" w:lineRule="auto"/>
        <w:jc w:val="both"/>
      </w:pPr>
      <w:r>
        <w:rPr>
          <w:rFonts w:ascii="Times New Roman" w:hAnsi="Times New Roman" w:hint="eastAsia"/>
        </w:rPr>
        <w:t xml:space="preserve">[51] </w:t>
      </w:r>
      <w:r>
        <w:rPr>
          <w:rFonts w:ascii="Times New Roman" w:hAnsi="Times New Roman"/>
        </w:rPr>
        <w:t>N.</w:t>
      </w:r>
      <w:r>
        <w:rPr>
          <w:rFonts w:ascii="Times New Roman" w:hAnsi="Times New Roman" w:hint="eastAsia"/>
        </w:rPr>
        <w:t xml:space="preserve"> </w:t>
      </w:r>
      <w:r>
        <w:rPr>
          <w:rFonts w:ascii="Times New Roman" w:hAnsi="Times New Roman"/>
        </w:rPr>
        <w:t>M. Kazuchits</w:t>
      </w:r>
      <w:r>
        <w:rPr>
          <w:rFonts w:ascii="Times New Roman" w:hAnsi="Times New Roman" w:hint="eastAsia"/>
        </w:rPr>
        <w:t xml:space="preserve">, </w:t>
      </w:r>
      <w:r>
        <w:rPr>
          <w:rFonts w:ascii="Times New Roman" w:hAnsi="Times New Roman"/>
        </w:rPr>
        <w:t>O.</w:t>
      </w:r>
      <w:r>
        <w:rPr>
          <w:rFonts w:ascii="Times New Roman" w:hAnsi="Times New Roman" w:hint="eastAsia"/>
        </w:rPr>
        <w:t xml:space="preserve"> </w:t>
      </w:r>
      <w:r>
        <w:rPr>
          <w:rFonts w:ascii="Times New Roman" w:hAnsi="Times New Roman"/>
        </w:rPr>
        <w:t>V. Korolik</w:t>
      </w:r>
      <w:r>
        <w:rPr>
          <w:rFonts w:ascii="Times New Roman" w:hAnsi="Times New Roman" w:hint="eastAsia"/>
        </w:rPr>
        <w:t xml:space="preserve">, </w:t>
      </w:r>
      <w:r>
        <w:rPr>
          <w:rFonts w:ascii="Times New Roman" w:hAnsi="Times New Roman"/>
        </w:rPr>
        <w:t>M.</w:t>
      </w:r>
      <w:r>
        <w:rPr>
          <w:rFonts w:ascii="Times New Roman" w:hAnsi="Times New Roman" w:hint="eastAsia"/>
        </w:rPr>
        <w:t xml:space="preserve"> </w:t>
      </w:r>
      <w:r>
        <w:rPr>
          <w:rFonts w:ascii="Times New Roman" w:hAnsi="Times New Roman"/>
        </w:rPr>
        <w:t>S. Rusetsky</w:t>
      </w:r>
      <w:r>
        <w:rPr>
          <w:rFonts w:ascii="Times New Roman" w:hAnsi="Times New Roman" w:hint="eastAsia"/>
        </w:rPr>
        <w:t xml:space="preserve">, </w:t>
      </w:r>
      <w:r>
        <w:rPr>
          <w:rFonts w:ascii="Times New Roman" w:hAnsi="Times New Roman"/>
        </w:rPr>
        <w:t>V.</w:t>
      </w:r>
      <w:r>
        <w:rPr>
          <w:rFonts w:ascii="Times New Roman" w:hAnsi="Times New Roman" w:hint="eastAsia"/>
        </w:rPr>
        <w:t xml:space="preserve"> </w:t>
      </w:r>
      <w:r>
        <w:rPr>
          <w:rFonts w:ascii="Times New Roman" w:hAnsi="Times New Roman"/>
        </w:rPr>
        <w:t>N. Kazuchits</w:t>
      </w:r>
      <w:r>
        <w:rPr>
          <w:rFonts w:ascii="Times New Roman" w:hAnsi="Times New Roman" w:hint="eastAsia"/>
        </w:rPr>
        <w:t xml:space="preserve">, </w:t>
      </w:r>
      <w:r>
        <w:rPr>
          <w:rFonts w:ascii="Times New Roman" w:hAnsi="Times New Roman"/>
        </w:rPr>
        <w:t>N.</w:t>
      </w:r>
      <w:r>
        <w:rPr>
          <w:rFonts w:ascii="Times New Roman" w:hAnsi="Times New Roman" w:hint="eastAsia"/>
        </w:rPr>
        <w:t xml:space="preserve"> </w:t>
      </w:r>
      <w:r>
        <w:rPr>
          <w:rFonts w:ascii="Times New Roman" w:hAnsi="Times New Roman"/>
        </w:rPr>
        <w:t>S. Kirilkin</w:t>
      </w:r>
      <w:r>
        <w:rPr>
          <w:rFonts w:ascii="Times New Roman" w:hAnsi="Times New Roman" w:hint="eastAsia"/>
        </w:rPr>
        <w:t xml:space="preserve">, </w:t>
      </w:r>
      <w:r>
        <w:rPr>
          <w:rFonts w:ascii="Times New Roman" w:hAnsi="Times New Roman"/>
        </w:rPr>
        <w:t>V.</w:t>
      </w:r>
      <w:r>
        <w:rPr>
          <w:rFonts w:ascii="Times New Roman" w:hAnsi="Times New Roman" w:hint="eastAsia"/>
        </w:rPr>
        <w:t xml:space="preserve"> </w:t>
      </w:r>
      <w:r>
        <w:rPr>
          <w:rFonts w:ascii="Times New Roman" w:hAnsi="Times New Roman"/>
        </w:rPr>
        <w:t>A. Skuratov</w:t>
      </w:r>
      <w:r>
        <w:rPr>
          <w:rFonts w:ascii="Times New Roman" w:hAnsi="Times New Roman" w:hint="eastAsia"/>
        </w:rPr>
        <w:t>,</w:t>
      </w:r>
      <w:r>
        <w:rPr>
          <w:rFonts w:ascii="Times New Roman" w:hAnsi="Times New Roman" w:hint="eastAsia"/>
          <w:i/>
          <w:iCs/>
        </w:rPr>
        <w:t xml:space="preserve"> Nucl. Instrum. Meth. B </w:t>
      </w:r>
      <w:r>
        <w:rPr>
          <w:rFonts w:ascii="Times New Roman" w:hAnsi="Times New Roman" w:hint="eastAsia"/>
          <w:b/>
          <w:bCs/>
        </w:rPr>
        <w:t>2020</w:t>
      </w:r>
      <w:r>
        <w:rPr>
          <w:rFonts w:ascii="Times New Roman" w:hAnsi="Times New Roman" w:hint="eastAsia"/>
        </w:rPr>
        <w:t xml:space="preserve">, </w:t>
      </w:r>
      <w:r>
        <w:rPr>
          <w:rFonts w:ascii="Times New Roman" w:hAnsi="Times New Roman" w:hint="eastAsia"/>
          <w:i/>
          <w:iCs/>
        </w:rPr>
        <w:t>472</w:t>
      </w:r>
      <w:r>
        <w:rPr>
          <w:rFonts w:ascii="Times New Roman" w:hAnsi="Times New Roman" w:hint="eastAsia"/>
        </w:rPr>
        <w:t>, 19.</w:t>
      </w:r>
    </w:p>
    <w:p w14:paraId="6782D027" w14:textId="77777777" w:rsidR="00E565B4" w:rsidRDefault="00000000">
      <w:pPr>
        <w:widowControl w:val="0"/>
        <w:spacing w:line="360" w:lineRule="auto"/>
        <w:jc w:val="both"/>
        <w:rPr>
          <w:rFonts w:ascii="Times New Roman" w:hAnsi="Times New Roman"/>
        </w:rPr>
      </w:pPr>
      <w:r>
        <w:rPr>
          <w:rFonts w:ascii="Times New Roman" w:hAnsi="Times New Roman" w:hint="eastAsia"/>
        </w:rPr>
        <w:t>[52] K. Y. Gu, Z. L. Zhang, G. Chen, J. Huang, Y. Koide, S. Koizumi, W. Zhao, M. Y. Liao,</w:t>
      </w:r>
      <w:r>
        <w:rPr>
          <w:rFonts w:ascii="Times New Roman" w:hAnsi="Times New Roman" w:hint="eastAsia"/>
          <w:i/>
          <w:iCs/>
        </w:rPr>
        <w:t xml:space="preserve"> Carbon</w:t>
      </w:r>
      <w:r>
        <w:rPr>
          <w:rFonts w:ascii="Times New Roman" w:hAnsi="Times New Roman" w:hint="eastAsia"/>
        </w:rPr>
        <w:t xml:space="preserve"> </w:t>
      </w:r>
      <w:r>
        <w:rPr>
          <w:rFonts w:ascii="Times New Roman" w:hAnsi="Times New Roman" w:hint="eastAsia"/>
          <w:b/>
          <w:bCs/>
        </w:rPr>
        <w:t>2024</w:t>
      </w:r>
      <w:r>
        <w:rPr>
          <w:rFonts w:ascii="Times New Roman" w:hAnsi="Times New Roman" w:hint="eastAsia"/>
        </w:rPr>
        <w:t>,</w:t>
      </w:r>
      <w:r>
        <w:rPr>
          <w:rFonts w:ascii="Times New Roman" w:hAnsi="Times New Roman" w:hint="eastAsia"/>
          <w:i/>
          <w:iCs/>
        </w:rPr>
        <w:t xml:space="preserve"> 225</w:t>
      </w:r>
      <w:r>
        <w:rPr>
          <w:rFonts w:ascii="Times New Roman" w:hAnsi="Times New Roman" w:hint="eastAsia"/>
        </w:rPr>
        <w:t>, 119159.</w:t>
      </w:r>
    </w:p>
    <w:p w14:paraId="207867FF" w14:textId="77777777" w:rsidR="00E565B4" w:rsidRDefault="00000000">
      <w:pPr>
        <w:widowControl w:val="0"/>
        <w:spacing w:line="360" w:lineRule="auto"/>
        <w:jc w:val="both"/>
        <w:rPr>
          <w:rFonts w:ascii="Times New Roman" w:hAnsi="Times New Roman"/>
        </w:rPr>
      </w:pPr>
      <w:r>
        <w:rPr>
          <w:rFonts w:ascii="Times New Roman" w:hAnsi="Times New Roman" w:hint="eastAsia"/>
        </w:rPr>
        <w:t>[53] L. X. Su, B. Zhang, Z. Yang, Z. M. Chen,</w:t>
      </w:r>
      <w:r>
        <w:rPr>
          <w:rFonts w:ascii="Times New Roman" w:hAnsi="Times New Roman" w:hint="eastAsia"/>
          <w:i/>
          <w:iCs/>
        </w:rPr>
        <w:t xml:space="preserve"> InfoScience</w:t>
      </w:r>
      <w:r>
        <w:rPr>
          <w:rFonts w:ascii="Times New Roman" w:hAnsi="Times New Roman" w:hint="eastAsia"/>
          <w:b/>
          <w:bCs/>
        </w:rPr>
        <w:t xml:space="preserve"> 2025</w:t>
      </w:r>
      <w:r>
        <w:rPr>
          <w:rFonts w:ascii="Times New Roman" w:hAnsi="Times New Roman" w:hint="eastAsia"/>
        </w:rPr>
        <w:t xml:space="preserve">, </w:t>
      </w:r>
      <w:r>
        <w:rPr>
          <w:rFonts w:ascii="Times New Roman" w:hAnsi="Times New Roman" w:hint="eastAsia"/>
          <w:i/>
          <w:iCs/>
        </w:rPr>
        <w:t>2</w:t>
      </w:r>
      <w:r>
        <w:rPr>
          <w:rFonts w:ascii="Times New Roman" w:hAnsi="Times New Roman" w:hint="eastAsia"/>
        </w:rPr>
        <w:t>, e12022.</w:t>
      </w:r>
    </w:p>
    <w:p w14:paraId="463A76D5"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[54] Z. F. Zhang, C. N. Lin, X. Yang, Y. Z. Tian, C. J. Gao, K. Y. Li, J. H. Zang, X. G. Yang, L. Dong, C. X. Shan, </w:t>
      </w:r>
      <w:r>
        <w:rPr>
          <w:rFonts w:ascii="Times New Roman" w:hAnsi="Times New Roman" w:hint="eastAsia"/>
          <w:i/>
          <w:iCs/>
        </w:rPr>
        <w:t>Carbon</w:t>
      </w:r>
      <w:r>
        <w:rPr>
          <w:rFonts w:ascii="Times New Roman" w:hAnsi="Times New Roman" w:hint="eastAsia"/>
        </w:rPr>
        <w:t xml:space="preserve"> </w:t>
      </w:r>
      <w:r>
        <w:rPr>
          <w:rFonts w:ascii="Times New Roman" w:hAnsi="Times New Roman" w:hint="eastAsia"/>
          <w:b/>
          <w:bCs/>
        </w:rPr>
        <w:t>2021</w:t>
      </w:r>
      <w:r>
        <w:rPr>
          <w:rFonts w:ascii="Times New Roman" w:hAnsi="Times New Roman" w:hint="eastAsia"/>
        </w:rPr>
        <w:t xml:space="preserve">, </w:t>
      </w:r>
      <w:r>
        <w:rPr>
          <w:rFonts w:ascii="Times New Roman" w:hAnsi="Times New Roman" w:hint="eastAsia"/>
          <w:i/>
          <w:iCs/>
        </w:rPr>
        <w:t>173</w:t>
      </w:r>
      <w:r>
        <w:rPr>
          <w:rFonts w:ascii="Times New Roman" w:hAnsi="Times New Roman" w:hint="eastAsia"/>
        </w:rPr>
        <w:t xml:space="preserve">, 427.      </w:t>
      </w:r>
    </w:p>
    <w:p w14:paraId="4BED9103"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[55] C. N. Lin, Y. J. Lu, X. Yang, Y. Z. Tian, C. J. Gao, J. L. Sun, L. Dong, F. Zhong, W. D. Hu, C. X. Shan, </w:t>
      </w:r>
      <w:r>
        <w:rPr>
          <w:rFonts w:ascii="Times New Roman" w:hAnsi="Times New Roman" w:hint="eastAsia"/>
          <w:i/>
          <w:iCs/>
        </w:rPr>
        <w:t xml:space="preserve">Adv. Opt. Mater. </w:t>
      </w:r>
      <w:r>
        <w:rPr>
          <w:rFonts w:ascii="Times New Roman" w:hAnsi="Times New Roman" w:hint="eastAsia"/>
          <w:b/>
          <w:bCs/>
        </w:rPr>
        <w:t>2018</w:t>
      </w:r>
      <w:r>
        <w:rPr>
          <w:rFonts w:ascii="Times New Roman" w:hAnsi="Times New Roman" w:hint="eastAsia"/>
        </w:rPr>
        <w:t xml:space="preserve">, </w:t>
      </w:r>
      <w:r>
        <w:rPr>
          <w:rFonts w:ascii="Times New Roman" w:hAnsi="Times New Roman" w:hint="eastAsia"/>
          <w:i/>
          <w:iCs/>
        </w:rPr>
        <w:t>6</w:t>
      </w:r>
      <w:r>
        <w:rPr>
          <w:rFonts w:ascii="Times New Roman" w:hAnsi="Times New Roman" w:hint="eastAsia"/>
        </w:rPr>
        <w:t>, 1800068.</w:t>
      </w:r>
    </w:p>
    <w:p w14:paraId="73E0EC70" w14:textId="77777777" w:rsidR="00E565B4" w:rsidRDefault="00000000">
      <w:pPr>
        <w:widowControl w:val="0"/>
        <w:spacing w:line="360" w:lineRule="auto"/>
        <w:jc w:val="both"/>
        <w:rPr>
          <w:rFonts w:ascii="Times New Roman" w:hAnsi="Times New Roman"/>
        </w:rPr>
      </w:pPr>
      <w:r>
        <w:rPr>
          <w:rFonts w:ascii="Times New Roman" w:hAnsi="Times New Roman" w:hint="eastAsia"/>
        </w:rPr>
        <w:t>[56] M. Y. Liao,</w:t>
      </w:r>
      <w:r>
        <w:rPr>
          <w:rFonts w:ascii="Times New Roman" w:hAnsi="Times New Roman" w:hint="eastAsia"/>
          <w:i/>
          <w:iCs/>
        </w:rPr>
        <w:t xml:space="preserve"> Functional Diamond</w:t>
      </w:r>
      <w:r>
        <w:rPr>
          <w:rFonts w:ascii="Times New Roman" w:hAnsi="Times New Roman" w:hint="eastAsia"/>
        </w:rPr>
        <w:t xml:space="preserve"> </w:t>
      </w:r>
      <w:r>
        <w:rPr>
          <w:rFonts w:ascii="Times New Roman" w:hAnsi="Times New Roman" w:hint="eastAsia"/>
          <w:b/>
          <w:bCs/>
        </w:rPr>
        <w:t>2021</w:t>
      </w:r>
      <w:r>
        <w:rPr>
          <w:rFonts w:ascii="Times New Roman" w:hAnsi="Times New Roman" w:hint="eastAsia"/>
        </w:rPr>
        <w:t xml:space="preserve">, </w:t>
      </w:r>
      <w:r>
        <w:rPr>
          <w:rFonts w:ascii="Times New Roman" w:hAnsi="Times New Roman" w:hint="eastAsia"/>
          <w:i/>
          <w:iCs/>
        </w:rPr>
        <w:t>1</w:t>
      </w:r>
      <w:r>
        <w:rPr>
          <w:rFonts w:ascii="Times New Roman" w:hAnsi="Times New Roman" w:hint="eastAsia"/>
        </w:rPr>
        <w:t>, 29.</w:t>
      </w:r>
    </w:p>
    <w:p w14:paraId="16DB886A"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[57] M. Y. Liao, Y. Koide, J. Alvarez, M. Imura, J. P. Kleider, </w:t>
      </w:r>
      <w:r>
        <w:rPr>
          <w:rFonts w:ascii="Times New Roman" w:hAnsi="Times New Roman" w:hint="eastAsia"/>
          <w:i/>
          <w:iCs/>
        </w:rPr>
        <w:t>Phys. Rev. B</w:t>
      </w:r>
      <w:r>
        <w:rPr>
          <w:rFonts w:ascii="Times New Roman" w:hAnsi="Times New Roman" w:hint="eastAsia"/>
        </w:rPr>
        <w:t xml:space="preserve"> </w:t>
      </w:r>
      <w:r>
        <w:rPr>
          <w:rFonts w:ascii="Times New Roman" w:hAnsi="Times New Roman" w:hint="eastAsia"/>
          <w:b/>
          <w:bCs/>
        </w:rPr>
        <w:t>2008</w:t>
      </w:r>
      <w:r>
        <w:rPr>
          <w:rFonts w:ascii="Times New Roman" w:hAnsi="Times New Roman" w:hint="eastAsia"/>
        </w:rPr>
        <w:t>,</w:t>
      </w:r>
      <w:r>
        <w:rPr>
          <w:rFonts w:ascii="Times New Roman" w:hAnsi="Times New Roman" w:hint="eastAsia"/>
          <w:i/>
          <w:iCs/>
        </w:rPr>
        <w:t xml:space="preserve"> 78</w:t>
      </w:r>
      <w:r>
        <w:rPr>
          <w:rFonts w:ascii="Times New Roman" w:hAnsi="Times New Roman" w:hint="eastAsia"/>
        </w:rPr>
        <w:t>, 045112.</w:t>
      </w:r>
    </w:p>
    <w:p w14:paraId="7F0D0A91"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[58] C. E. Nebel, A. Waltenspiel, M. Stutzmann, M. Paul, L. Schafer, </w:t>
      </w:r>
      <w:r>
        <w:rPr>
          <w:rFonts w:ascii="Times New Roman" w:hAnsi="Times New Roman" w:hint="eastAsia"/>
          <w:i/>
          <w:iCs/>
        </w:rPr>
        <w:t>Diamond Relat. Mater.</w:t>
      </w:r>
      <w:r>
        <w:rPr>
          <w:rFonts w:ascii="Times New Roman" w:hAnsi="Times New Roman" w:hint="eastAsia"/>
          <w:b/>
          <w:bCs/>
          <w:i/>
          <w:iCs/>
        </w:rPr>
        <w:t xml:space="preserve"> </w:t>
      </w:r>
      <w:r>
        <w:rPr>
          <w:rFonts w:ascii="Times New Roman" w:hAnsi="Times New Roman" w:hint="eastAsia"/>
          <w:b/>
          <w:bCs/>
        </w:rPr>
        <w:t>2000</w:t>
      </w:r>
      <w:r>
        <w:rPr>
          <w:rFonts w:ascii="Times New Roman" w:hAnsi="Times New Roman" w:hint="eastAsia"/>
        </w:rPr>
        <w:t xml:space="preserve">, </w:t>
      </w:r>
      <w:r>
        <w:rPr>
          <w:rFonts w:ascii="Times New Roman" w:hAnsi="Times New Roman" w:hint="eastAsia"/>
          <w:i/>
          <w:iCs/>
        </w:rPr>
        <w:t>9</w:t>
      </w:r>
      <w:r>
        <w:rPr>
          <w:rFonts w:ascii="Times New Roman" w:hAnsi="Times New Roman" w:hint="eastAsia"/>
        </w:rPr>
        <w:t>, 404.</w:t>
      </w:r>
    </w:p>
    <w:p w14:paraId="325B687E"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[59] J. M. Marshall, A. S. Walters, </w:t>
      </w:r>
      <w:r>
        <w:rPr>
          <w:rFonts w:ascii="Times New Roman" w:hAnsi="Times New Roman" w:hint="eastAsia"/>
          <w:i/>
          <w:iCs/>
        </w:rPr>
        <w:t>Diamond Relat. Mater.</w:t>
      </w:r>
      <w:r>
        <w:rPr>
          <w:rFonts w:ascii="Times New Roman" w:hAnsi="Times New Roman" w:hint="eastAsia"/>
        </w:rPr>
        <w:t xml:space="preserve"> </w:t>
      </w:r>
      <w:r>
        <w:rPr>
          <w:rFonts w:ascii="Times New Roman" w:hAnsi="Times New Roman" w:hint="eastAsia"/>
          <w:b/>
          <w:bCs/>
        </w:rPr>
        <w:t>2000</w:t>
      </w:r>
      <w:r>
        <w:rPr>
          <w:rFonts w:ascii="Times New Roman" w:hAnsi="Times New Roman" w:hint="eastAsia"/>
        </w:rPr>
        <w:t xml:space="preserve">, </w:t>
      </w:r>
      <w:r>
        <w:rPr>
          <w:rFonts w:ascii="Times New Roman" w:hAnsi="Times New Roman" w:hint="eastAsia"/>
          <w:i/>
          <w:iCs/>
        </w:rPr>
        <w:t>9</w:t>
      </w:r>
      <w:r>
        <w:rPr>
          <w:rFonts w:ascii="Times New Roman" w:hAnsi="Times New Roman" w:hint="eastAsia"/>
        </w:rPr>
        <w:t>, 408.</w:t>
      </w:r>
    </w:p>
    <w:p w14:paraId="77C48183" w14:textId="77777777" w:rsidR="00E565B4" w:rsidRDefault="00000000">
      <w:pPr>
        <w:widowControl w:val="0"/>
        <w:spacing w:line="360" w:lineRule="auto"/>
        <w:jc w:val="both"/>
        <w:rPr>
          <w:rFonts w:ascii="Times New Roman" w:hAnsi="Times New Roman"/>
        </w:rPr>
      </w:pPr>
      <w:r>
        <w:rPr>
          <w:rFonts w:ascii="Times New Roman" w:hAnsi="Times New Roman" w:hint="eastAsia"/>
        </w:rPr>
        <w:t xml:space="preserve">[60] S. Salvatori, E. Pace, M. C. Rossi, F. Galluzzi, </w:t>
      </w:r>
      <w:r>
        <w:rPr>
          <w:rFonts w:ascii="Times New Roman" w:hAnsi="Times New Roman" w:hint="eastAsia"/>
          <w:i/>
          <w:iCs/>
        </w:rPr>
        <w:t>Diamond Relat. Mater.</w:t>
      </w:r>
      <w:r>
        <w:rPr>
          <w:rFonts w:ascii="Times New Roman" w:hAnsi="Times New Roman" w:hint="eastAsia"/>
        </w:rPr>
        <w:t xml:space="preserve"> </w:t>
      </w:r>
      <w:r>
        <w:rPr>
          <w:rFonts w:ascii="Times New Roman" w:hAnsi="Times New Roman" w:hint="eastAsia"/>
          <w:b/>
          <w:bCs/>
        </w:rPr>
        <w:t>1997</w:t>
      </w:r>
      <w:r>
        <w:rPr>
          <w:rFonts w:ascii="Times New Roman" w:hAnsi="Times New Roman" w:hint="eastAsia"/>
        </w:rPr>
        <w:t xml:space="preserve">, </w:t>
      </w:r>
      <w:r>
        <w:rPr>
          <w:rFonts w:ascii="Times New Roman" w:hAnsi="Times New Roman" w:hint="eastAsia"/>
          <w:i/>
          <w:iCs/>
        </w:rPr>
        <w:t>6</w:t>
      </w:r>
      <w:r>
        <w:rPr>
          <w:rFonts w:ascii="Times New Roman" w:hAnsi="Times New Roman" w:hint="eastAsia"/>
        </w:rPr>
        <w:t>, 361.</w:t>
      </w:r>
    </w:p>
    <w:p w14:paraId="48A97354" w14:textId="77777777" w:rsidR="00E565B4" w:rsidRDefault="00000000">
      <w:pPr>
        <w:widowControl w:val="0"/>
        <w:spacing w:line="360" w:lineRule="auto"/>
        <w:jc w:val="both"/>
        <w:rPr>
          <w:rFonts w:ascii="Times New Roman" w:hAnsi="Times New Roman"/>
          <w:bCs/>
        </w:rPr>
      </w:pPr>
      <w:r>
        <w:rPr>
          <w:rFonts w:ascii="Times New Roman" w:hAnsi="Times New Roman" w:hint="eastAsia"/>
        </w:rPr>
        <w:t xml:space="preserve">[61] </w:t>
      </w:r>
      <w:r>
        <w:rPr>
          <w:rFonts w:ascii="Times New Roman" w:hAnsi="Times New Roman"/>
        </w:rPr>
        <w:t>X</w:t>
      </w:r>
      <w:r>
        <w:rPr>
          <w:rFonts w:ascii="Times New Roman" w:hAnsi="Times New Roman" w:hint="eastAsia"/>
        </w:rPr>
        <w:t>. Z.</w:t>
      </w:r>
      <w:r>
        <w:rPr>
          <w:rFonts w:ascii="Times New Roman" w:hAnsi="Times New Roman"/>
        </w:rPr>
        <w:t xml:space="preserve"> Chen, Y</w:t>
      </w:r>
      <w:r>
        <w:rPr>
          <w:rFonts w:ascii="Times New Roman" w:hAnsi="Times New Roman" w:hint="eastAsia"/>
        </w:rPr>
        <w:t>.</w:t>
      </w:r>
      <w:r>
        <w:rPr>
          <w:rFonts w:ascii="Times New Roman" w:hAnsi="Times New Roman"/>
        </w:rPr>
        <w:t xml:space="preserve"> Lv, Z</w:t>
      </w:r>
      <w:r>
        <w:rPr>
          <w:rFonts w:ascii="Times New Roman" w:hAnsi="Times New Roman" w:hint="eastAsia"/>
        </w:rPr>
        <w:t>. B.</w:t>
      </w:r>
      <w:r>
        <w:rPr>
          <w:rFonts w:ascii="Times New Roman" w:hAnsi="Times New Roman"/>
        </w:rPr>
        <w:t xml:space="preserve"> Tian, J</w:t>
      </w:r>
      <w:r>
        <w:rPr>
          <w:rFonts w:ascii="Times New Roman" w:hAnsi="Times New Roman" w:hint="eastAsia"/>
        </w:rPr>
        <w:t>. X.</w:t>
      </w:r>
      <w:r>
        <w:rPr>
          <w:rFonts w:ascii="Times New Roman" w:hAnsi="Times New Roman"/>
        </w:rPr>
        <w:t xml:space="preserve"> Yang, Y</w:t>
      </w:r>
      <w:r>
        <w:rPr>
          <w:rFonts w:ascii="Times New Roman" w:hAnsi="Times New Roman" w:hint="eastAsia"/>
        </w:rPr>
        <w:t>.</w:t>
      </w:r>
      <w:r>
        <w:rPr>
          <w:rFonts w:ascii="Times New Roman" w:hAnsi="Times New Roman"/>
        </w:rPr>
        <w:t xml:space="preserve"> Zhu</w:t>
      </w:r>
      <w:r>
        <w:rPr>
          <w:rFonts w:ascii="Times New Roman" w:hAnsi="Times New Roman" w:hint="eastAsia"/>
        </w:rPr>
        <w:t>,</w:t>
      </w:r>
      <w:r>
        <w:rPr>
          <w:rFonts w:ascii="Times New Roman" w:hAnsi="Times New Roman"/>
        </w:rPr>
        <w:t xml:space="preserve"> L</w:t>
      </w:r>
      <w:r>
        <w:rPr>
          <w:rFonts w:ascii="Times New Roman" w:hAnsi="Times New Roman" w:hint="eastAsia"/>
        </w:rPr>
        <w:t>. X.</w:t>
      </w:r>
      <w:r>
        <w:rPr>
          <w:rFonts w:ascii="Times New Roman" w:hAnsi="Times New Roman"/>
        </w:rPr>
        <w:t xml:space="preserve"> Su</w:t>
      </w:r>
      <w:r>
        <w:rPr>
          <w:rFonts w:ascii="Times New Roman" w:hAnsi="Times New Roman" w:hint="eastAsia"/>
        </w:rPr>
        <w:t xml:space="preserve">, </w:t>
      </w:r>
      <w:r>
        <w:rPr>
          <w:rFonts w:ascii="Times New Roman" w:hAnsi="Times New Roman" w:hint="eastAsia"/>
          <w:i/>
          <w:iCs/>
        </w:rPr>
        <w:t xml:space="preserve">J. Mater. Chem. C </w:t>
      </w:r>
      <w:r>
        <w:rPr>
          <w:rFonts w:ascii="Times New Roman" w:hAnsi="Times New Roman" w:hint="eastAsia"/>
          <w:b/>
          <w:bCs/>
        </w:rPr>
        <w:t>2023</w:t>
      </w:r>
      <w:r>
        <w:rPr>
          <w:rFonts w:ascii="Times New Roman" w:hAnsi="Times New Roman" w:hint="eastAsia"/>
        </w:rPr>
        <w:t xml:space="preserve">, </w:t>
      </w:r>
      <w:r>
        <w:rPr>
          <w:rFonts w:ascii="Times New Roman" w:hAnsi="Times New Roman" w:hint="eastAsia"/>
          <w:i/>
          <w:iCs/>
        </w:rPr>
        <w:t>11</w:t>
      </w:r>
      <w:r>
        <w:rPr>
          <w:rFonts w:ascii="Times New Roman" w:hAnsi="Times New Roman" w:hint="eastAsia"/>
        </w:rPr>
        <w:t>, 622.</w:t>
      </w:r>
    </w:p>
    <w:p w14:paraId="27BA375B" w14:textId="77777777" w:rsidR="00E565B4" w:rsidRDefault="00000000">
      <w:pPr>
        <w:tabs>
          <w:tab w:val="center" w:pos="3780"/>
          <w:tab w:val="right" w:pos="7980"/>
        </w:tabs>
        <w:snapToGrid w:val="0"/>
        <w:spacing w:line="360" w:lineRule="auto"/>
        <w:jc w:val="both"/>
        <w:rPr>
          <w:rFonts w:ascii="Times New Roman" w:hAnsi="Times New Roman"/>
          <w:bCs/>
        </w:rPr>
      </w:pPr>
      <w:r>
        <w:rPr>
          <w:rFonts w:ascii="Times New Roman" w:hAnsi="Times New Roman" w:hint="eastAsia"/>
          <w:bCs/>
        </w:rPr>
        <w:t xml:space="preserve">[62] L. X. Su, S. D. Wu, X. F. Wang, K. Sun, T. Yun, Y. P. Du, J. G. Lu, </w:t>
      </w:r>
      <w:r>
        <w:rPr>
          <w:rFonts w:ascii="Times New Roman" w:hAnsi="Times New Roman" w:hint="eastAsia"/>
          <w:bCs/>
          <w:i/>
          <w:iCs/>
        </w:rPr>
        <w:t xml:space="preserve">Opt. Lett. </w:t>
      </w:r>
      <w:r>
        <w:rPr>
          <w:rFonts w:ascii="Times New Roman" w:hAnsi="Times New Roman" w:hint="eastAsia"/>
          <w:b/>
        </w:rPr>
        <w:t>2024</w:t>
      </w:r>
      <w:r>
        <w:rPr>
          <w:rFonts w:ascii="Times New Roman" w:hAnsi="Times New Roman" w:hint="eastAsia"/>
          <w:bCs/>
        </w:rPr>
        <w:t xml:space="preserve">, </w:t>
      </w:r>
      <w:r>
        <w:rPr>
          <w:rFonts w:ascii="Times New Roman" w:hAnsi="Times New Roman" w:hint="eastAsia"/>
          <w:bCs/>
          <w:i/>
          <w:iCs/>
        </w:rPr>
        <w:t>49</w:t>
      </w:r>
      <w:r>
        <w:rPr>
          <w:rFonts w:ascii="Times New Roman" w:hAnsi="Times New Roman" w:hint="eastAsia"/>
          <w:bCs/>
        </w:rPr>
        <w:t>, 474.</w:t>
      </w:r>
    </w:p>
    <w:p w14:paraId="2DEA6FBB" w14:textId="77777777" w:rsidR="00E565B4" w:rsidRDefault="00000000">
      <w:pPr>
        <w:pStyle w:val="EndNoteBibliography"/>
        <w:spacing w:line="360" w:lineRule="auto"/>
        <w:rPr>
          <w:sz w:val="24"/>
          <w:szCs w:val="24"/>
        </w:rPr>
      </w:pPr>
      <w:r>
        <w:rPr>
          <w:sz w:val="24"/>
          <w:szCs w:val="24"/>
        </w:rPr>
        <w:lastRenderedPageBreak/>
        <w:t>[</w:t>
      </w:r>
      <w:r>
        <w:rPr>
          <w:rFonts w:hint="eastAsia"/>
          <w:sz w:val="24"/>
          <w:szCs w:val="24"/>
        </w:rPr>
        <w:t>63</w:t>
      </w:r>
      <w:r>
        <w:rPr>
          <w:sz w:val="24"/>
          <w:szCs w:val="24"/>
        </w:rPr>
        <w:t xml:space="preserve">] G. Hahn, A. Ponce-Alvarez, G. Deco, A. Aertsen, A. Kumar, </w:t>
      </w:r>
      <w:r>
        <w:rPr>
          <w:i/>
          <w:iCs/>
          <w:sz w:val="24"/>
          <w:szCs w:val="24"/>
        </w:rPr>
        <w:t>Nat. Rev. Neurosci.</w:t>
      </w:r>
      <w:r>
        <w:rPr>
          <w:sz w:val="24"/>
          <w:szCs w:val="24"/>
        </w:rPr>
        <w:t xml:space="preserve"> </w:t>
      </w:r>
      <w:r>
        <w:rPr>
          <w:b/>
          <w:bCs/>
          <w:sz w:val="24"/>
          <w:szCs w:val="24"/>
        </w:rPr>
        <w:t>2019</w:t>
      </w:r>
      <w:r>
        <w:rPr>
          <w:rFonts w:hint="eastAsia"/>
          <w:sz w:val="24"/>
          <w:szCs w:val="24"/>
        </w:rPr>
        <w:t xml:space="preserve">, </w:t>
      </w:r>
      <w:r>
        <w:rPr>
          <w:rFonts w:hint="eastAsia"/>
          <w:i/>
          <w:iCs/>
          <w:sz w:val="24"/>
          <w:szCs w:val="24"/>
        </w:rPr>
        <w:t>20</w:t>
      </w:r>
      <w:r>
        <w:rPr>
          <w:rFonts w:hint="eastAsia"/>
          <w:sz w:val="24"/>
          <w:szCs w:val="24"/>
        </w:rPr>
        <w:t>,</w:t>
      </w:r>
      <w:r>
        <w:rPr>
          <w:sz w:val="24"/>
          <w:szCs w:val="24"/>
        </w:rPr>
        <w:t xml:space="preserve"> 117.</w:t>
      </w:r>
    </w:p>
    <w:p w14:paraId="15CD3253" w14:textId="77777777" w:rsidR="00E565B4" w:rsidRDefault="00000000">
      <w:pPr>
        <w:pStyle w:val="EndNoteBibliography"/>
        <w:spacing w:line="360" w:lineRule="auto"/>
        <w:rPr>
          <w:sz w:val="24"/>
          <w:szCs w:val="24"/>
        </w:rPr>
      </w:pPr>
      <w:r>
        <w:rPr>
          <w:sz w:val="24"/>
          <w:szCs w:val="24"/>
        </w:rPr>
        <w:t>[</w:t>
      </w:r>
      <w:r>
        <w:rPr>
          <w:rFonts w:hint="eastAsia"/>
          <w:sz w:val="24"/>
          <w:szCs w:val="24"/>
        </w:rPr>
        <w:t>64</w:t>
      </w:r>
      <w:r>
        <w:rPr>
          <w:sz w:val="24"/>
          <w:szCs w:val="24"/>
        </w:rPr>
        <w:t>] P.</w:t>
      </w:r>
      <w:r>
        <w:rPr>
          <w:rFonts w:hint="eastAsia"/>
          <w:sz w:val="24"/>
          <w:szCs w:val="24"/>
        </w:rPr>
        <w:t xml:space="preserve"> </w:t>
      </w:r>
      <w:r>
        <w:rPr>
          <w:sz w:val="24"/>
          <w:szCs w:val="24"/>
        </w:rPr>
        <w:t>H. Pathak, X.</w:t>
      </w:r>
      <w:r>
        <w:rPr>
          <w:rFonts w:hint="eastAsia"/>
          <w:sz w:val="24"/>
          <w:szCs w:val="24"/>
        </w:rPr>
        <w:t xml:space="preserve"> </w:t>
      </w:r>
      <w:r>
        <w:rPr>
          <w:sz w:val="24"/>
          <w:szCs w:val="24"/>
        </w:rPr>
        <w:t>T. Feng, P.</w:t>
      </w:r>
      <w:r>
        <w:rPr>
          <w:rFonts w:hint="eastAsia"/>
          <w:sz w:val="24"/>
          <w:szCs w:val="24"/>
        </w:rPr>
        <w:t xml:space="preserve"> </w:t>
      </w:r>
      <w:r>
        <w:rPr>
          <w:sz w:val="24"/>
          <w:szCs w:val="24"/>
        </w:rPr>
        <w:t>F. Hu, P. Mohapatra,</w:t>
      </w:r>
      <w:r>
        <w:rPr>
          <w:i/>
          <w:iCs/>
          <w:sz w:val="24"/>
          <w:szCs w:val="24"/>
        </w:rPr>
        <w:t xml:space="preserve"> IEEE Commun</w:t>
      </w:r>
      <w:r>
        <w:rPr>
          <w:rFonts w:hint="eastAsia"/>
          <w:i/>
          <w:iCs/>
          <w:sz w:val="24"/>
          <w:szCs w:val="24"/>
        </w:rPr>
        <w:t>.</w:t>
      </w:r>
      <w:r>
        <w:rPr>
          <w:i/>
          <w:iCs/>
          <w:sz w:val="24"/>
          <w:szCs w:val="24"/>
        </w:rPr>
        <w:t xml:space="preserve"> Surv. Tut</w:t>
      </w:r>
      <w:r>
        <w:rPr>
          <w:rFonts w:hint="eastAsia"/>
          <w:i/>
          <w:iCs/>
          <w:sz w:val="24"/>
          <w:szCs w:val="24"/>
        </w:rPr>
        <w:t>.</w:t>
      </w:r>
      <w:r>
        <w:rPr>
          <w:i/>
          <w:iCs/>
          <w:sz w:val="24"/>
          <w:szCs w:val="24"/>
        </w:rPr>
        <w:t xml:space="preserve"> </w:t>
      </w:r>
      <w:r>
        <w:rPr>
          <w:rFonts w:hint="eastAsia"/>
          <w:b/>
          <w:bCs/>
          <w:sz w:val="24"/>
          <w:szCs w:val="24"/>
        </w:rPr>
        <w:t>2015</w:t>
      </w:r>
      <w:r>
        <w:rPr>
          <w:rFonts w:hint="eastAsia"/>
          <w:i/>
          <w:iCs/>
          <w:sz w:val="24"/>
          <w:szCs w:val="24"/>
        </w:rPr>
        <w:t xml:space="preserve">, </w:t>
      </w:r>
      <w:r>
        <w:rPr>
          <w:i/>
          <w:iCs/>
          <w:sz w:val="24"/>
          <w:szCs w:val="24"/>
        </w:rPr>
        <w:t>17</w:t>
      </w:r>
      <w:r>
        <w:rPr>
          <w:rFonts w:hint="eastAsia"/>
          <w:sz w:val="24"/>
          <w:szCs w:val="24"/>
        </w:rPr>
        <w:t>,</w:t>
      </w:r>
      <w:r>
        <w:rPr>
          <w:sz w:val="24"/>
          <w:szCs w:val="24"/>
        </w:rPr>
        <w:t xml:space="preserve"> 2047.</w:t>
      </w:r>
    </w:p>
    <w:p w14:paraId="7C106860" w14:textId="77777777" w:rsidR="00E565B4" w:rsidRDefault="00E565B4">
      <w:pPr>
        <w:widowControl w:val="0"/>
        <w:spacing w:line="360" w:lineRule="auto"/>
        <w:jc w:val="both"/>
        <w:rPr>
          <w:rFonts w:ascii="Times New Roman" w:hAnsi="Times New Roman"/>
          <w:bCs/>
        </w:rPr>
      </w:pPr>
    </w:p>
    <w:sectPr w:rsidR="00E565B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C51483"/>
    <w:multiLevelType w:val="singleLevel"/>
    <w:tmpl w:val="61C51483"/>
    <w:lvl w:ilvl="0">
      <w:start w:val="5"/>
      <w:numFmt w:val="upperLetter"/>
      <w:suff w:val="nothing"/>
      <w:lvlText w:val="%1-"/>
      <w:lvlJc w:val="left"/>
      <w:rPr>
        <w:rFonts w:hint="default"/>
        <w:b w:val="0"/>
        <w:bCs w:val="0"/>
      </w:rPr>
    </w:lvl>
  </w:abstractNum>
  <w:num w:numId="1" w16cid:durableId="1212376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defaultTabStop w:val="420"/>
  <w:drawingGridVerticalSpacing w:val="156"/>
  <w:noPunctuationKerning/>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Y1OTM0ZjQ0MGI0MDM5ZTU1ZTg3MDE1NzA2MGRlOTMifQ=="/>
  </w:docVars>
  <w:rsids>
    <w:rsidRoot w:val="00E565B4"/>
    <w:rsid w:val="0009075B"/>
    <w:rsid w:val="000F4995"/>
    <w:rsid w:val="00263AE5"/>
    <w:rsid w:val="002D77A9"/>
    <w:rsid w:val="002F7556"/>
    <w:rsid w:val="003F41BF"/>
    <w:rsid w:val="0040143A"/>
    <w:rsid w:val="00483A62"/>
    <w:rsid w:val="004859EA"/>
    <w:rsid w:val="004D3A5D"/>
    <w:rsid w:val="00591474"/>
    <w:rsid w:val="006D2A98"/>
    <w:rsid w:val="007D66E3"/>
    <w:rsid w:val="00802E78"/>
    <w:rsid w:val="00832C92"/>
    <w:rsid w:val="008C3911"/>
    <w:rsid w:val="00A246EB"/>
    <w:rsid w:val="00A2514C"/>
    <w:rsid w:val="00A82F36"/>
    <w:rsid w:val="00BF52BD"/>
    <w:rsid w:val="00D16DD4"/>
    <w:rsid w:val="00E565B4"/>
    <w:rsid w:val="00EB7BAC"/>
    <w:rsid w:val="00FD6B83"/>
    <w:rsid w:val="010249F3"/>
    <w:rsid w:val="01103E04"/>
    <w:rsid w:val="016043AA"/>
    <w:rsid w:val="016C6BA1"/>
    <w:rsid w:val="016F16BC"/>
    <w:rsid w:val="01995B0E"/>
    <w:rsid w:val="01A87AFF"/>
    <w:rsid w:val="01B50C8A"/>
    <w:rsid w:val="01C56903"/>
    <w:rsid w:val="01CB67EC"/>
    <w:rsid w:val="01D422B2"/>
    <w:rsid w:val="01EE7C08"/>
    <w:rsid w:val="022434AA"/>
    <w:rsid w:val="02291368"/>
    <w:rsid w:val="023A59E3"/>
    <w:rsid w:val="02421D02"/>
    <w:rsid w:val="0271181E"/>
    <w:rsid w:val="0288005D"/>
    <w:rsid w:val="029D4FB5"/>
    <w:rsid w:val="02A1192E"/>
    <w:rsid w:val="02B250DA"/>
    <w:rsid w:val="02D33559"/>
    <w:rsid w:val="02EB406C"/>
    <w:rsid w:val="03011BBD"/>
    <w:rsid w:val="031871BB"/>
    <w:rsid w:val="031D432A"/>
    <w:rsid w:val="03455F4E"/>
    <w:rsid w:val="034D4E02"/>
    <w:rsid w:val="037E3803"/>
    <w:rsid w:val="03870E6A"/>
    <w:rsid w:val="039F10F8"/>
    <w:rsid w:val="03AF33C1"/>
    <w:rsid w:val="03B7221F"/>
    <w:rsid w:val="03BE7AAE"/>
    <w:rsid w:val="03C270FA"/>
    <w:rsid w:val="03CB5518"/>
    <w:rsid w:val="040E6340"/>
    <w:rsid w:val="042353E7"/>
    <w:rsid w:val="04255E8D"/>
    <w:rsid w:val="0440773C"/>
    <w:rsid w:val="048B6EB5"/>
    <w:rsid w:val="04912C80"/>
    <w:rsid w:val="049D5F19"/>
    <w:rsid w:val="04A40725"/>
    <w:rsid w:val="04DF7CDC"/>
    <w:rsid w:val="05351188"/>
    <w:rsid w:val="056311A4"/>
    <w:rsid w:val="057E03BB"/>
    <w:rsid w:val="05A86824"/>
    <w:rsid w:val="05B556A4"/>
    <w:rsid w:val="06003421"/>
    <w:rsid w:val="06217422"/>
    <w:rsid w:val="06670994"/>
    <w:rsid w:val="067332AC"/>
    <w:rsid w:val="06883AD9"/>
    <w:rsid w:val="06C26629"/>
    <w:rsid w:val="06C453DB"/>
    <w:rsid w:val="06E23AB3"/>
    <w:rsid w:val="06F71B2F"/>
    <w:rsid w:val="071023CF"/>
    <w:rsid w:val="071A1B19"/>
    <w:rsid w:val="071B13C4"/>
    <w:rsid w:val="072C03D9"/>
    <w:rsid w:val="072D4FE6"/>
    <w:rsid w:val="07414C7E"/>
    <w:rsid w:val="076F5347"/>
    <w:rsid w:val="0793572B"/>
    <w:rsid w:val="07AC659B"/>
    <w:rsid w:val="07B172B0"/>
    <w:rsid w:val="07B90CB8"/>
    <w:rsid w:val="07C338E5"/>
    <w:rsid w:val="07CC7F91"/>
    <w:rsid w:val="07CE6FAD"/>
    <w:rsid w:val="080D690E"/>
    <w:rsid w:val="08193505"/>
    <w:rsid w:val="08392308"/>
    <w:rsid w:val="08693484"/>
    <w:rsid w:val="08844E22"/>
    <w:rsid w:val="08B651F8"/>
    <w:rsid w:val="08BA0F4D"/>
    <w:rsid w:val="08C47915"/>
    <w:rsid w:val="08F7421E"/>
    <w:rsid w:val="08FF1AA2"/>
    <w:rsid w:val="09070E2C"/>
    <w:rsid w:val="090D3BE7"/>
    <w:rsid w:val="091E4B6D"/>
    <w:rsid w:val="092A645D"/>
    <w:rsid w:val="095B4D5B"/>
    <w:rsid w:val="09633B6B"/>
    <w:rsid w:val="09B73475"/>
    <w:rsid w:val="09D85A37"/>
    <w:rsid w:val="09EC21FE"/>
    <w:rsid w:val="09F10F72"/>
    <w:rsid w:val="0A0014D9"/>
    <w:rsid w:val="0A226110"/>
    <w:rsid w:val="0A5D4965"/>
    <w:rsid w:val="0A6D0552"/>
    <w:rsid w:val="0A776340"/>
    <w:rsid w:val="0A8A1390"/>
    <w:rsid w:val="0A9E2214"/>
    <w:rsid w:val="0AF049F1"/>
    <w:rsid w:val="0B0B5703"/>
    <w:rsid w:val="0B1C3A38"/>
    <w:rsid w:val="0B2E0500"/>
    <w:rsid w:val="0B50631B"/>
    <w:rsid w:val="0B753F02"/>
    <w:rsid w:val="0B860EB1"/>
    <w:rsid w:val="0B9C3C1A"/>
    <w:rsid w:val="0BA176EB"/>
    <w:rsid w:val="0BAB6635"/>
    <w:rsid w:val="0BBA0BC5"/>
    <w:rsid w:val="0BBA10A7"/>
    <w:rsid w:val="0BD71900"/>
    <w:rsid w:val="0C005A7D"/>
    <w:rsid w:val="0C0A38DA"/>
    <w:rsid w:val="0C285B2C"/>
    <w:rsid w:val="0C3510E6"/>
    <w:rsid w:val="0C3C3C66"/>
    <w:rsid w:val="0C3F3532"/>
    <w:rsid w:val="0C4905B6"/>
    <w:rsid w:val="0C5A40E7"/>
    <w:rsid w:val="0C5B00C5"/>
    <w:rsid w:val="0C5D60B6"/>
    <w:rsid w:val="0C5F0709"/>
    <w:rsid w:val="0C6D22A1"/>
    <w:rsid w:val="0C6D4D5C"/>
    <w:rsid w:val="0C7D569B"/>
    <w:rsid w:val="0C950B9E"/>
    <w:rsid w:val="0CA77331"/>
    <w:rsid w:val="0CB3217A"/>
    <w:rsid w:val="0CBE09E8"/>
    <w:rsid w:val="0CC64B37"/>
    <w:rsid w:val="0CD77F0F"/>
    <w:rsid w:val="0CEE0FFB"/>
    <w:rsid w:val="0D2F50E6"/>
    <w:rsid w:val="0D31309F"/>
    <w:rsid w:val="0D7731A8"/>
    <w:rsid w:val="0D8633EB"/>
    <w:rsid w:val="0D8B27AF"/>
    <w:rsid w:val="0DD32194"/>
    <w:rsid w:val="0DED6FC6"/>
    <w:rsid w:val="0E014C35"/>
    <w:rsid w:val="0E10093A"/>
    <w:rsid w:val="0E153656"/>
    <w:rsid w:val="0E2826F4"/>
    <w:rsid w:val="0E3E3CC5"/>
    <w:rsid w:val="0E5375A5"/>
    <w:rsid w:val="0E6C62DB"/>
    <w:rsid w:val="0EA21BDD"/>
    <w:rsid w:val="0EAC60C4"/>
    <w:rsid w:val="0ED97170"/>
    <w:rsid w:val="0EE566EE"/>
    <w:rsid w:val="0EFD6FC4"/>
    <w:rsid w:val="0EFF4BA7"/>
    <w:rsid w:val="0F067F02"/>
    <w:rsid w:val="0F251C7F"/>
    <w:rsid w:val="0F386E13"/>
    <w:rsid w:val="0F3F1AA3"/>
    <w:rsid w:val="0F622A1B"/>
    <w:rsid w:val="0F701672"/>
    <w:rsid w:val="0F7C33C8"/>
    <w:rsid w:val="0F852CCD"/>
    <w:rsid w:val="0F9022FF"/>
    <w:rsid w:val="0F91624F"/>
    <w:rsid w:val="0F9C577B"/>
    <w:rsid w:val="0FC621C4"/>
    <w:rsid w:val="0FF705D0"/>
    <w:rsid w:val="0FF92D65"/>
    <w:rsid w:val="101601B0"/>
    <w:rsid w:val="10AD1E32"/>
    <w:rsid w:val="10C71AD8"/>
    <w:rsid w:val="10C83D1A"/>
    <w:rsid w:val="10E5322E"/>
    <w:rsid w:val="1122167C"/>
    <w:rsid w:val="11396A48"/>
    <w:rsid w:val="1185326E"/>
    <w:rsid w:val="11D703D0"/>
    <w:rsid w:val="11F254F3"/>
    <w:rsid w:val="12081E21"/>
    <w:rsid w:val="120E65C6"/>
    <w:rsid w:val="121205F8"/>
    <w:rsid w:val="122B0800"/>
    <w:rsid w:val="12375E20"/>
    <w:rsid w:val="123A2C38"/>
    <w:rsid w:val="124A70DD"/>
    <w:rsid w:val="12632414"/>
    <w:rsid w:val="126C3AE1"/>
    <w:rsid w:val="12775B4F"/>
    <w:rsid w:val="12951598"/>
    <w:rsid w:val="12A31446"/>
    <w:rsid w:val="12A367ED"/>
    <w:rsid w:val="12C624DB"/>
    <w:rsid w:val="12D2261E"/>
    <w:rsid w:val="12EF37E0"/>
    <w:rsid w:val="12F17558"/>
    <w:rsid w:val="12F938AD"/>
    <w:rsid w:val="131F5B97"/>
    <w:rsid w:val="135C6A88"/>
    <w:rsid w:val="13E66D5F"/>
    <w:rsid w:val="13E9022F"/>
    <w:rsid w:val="14181C86"/>
    <w:rsid w:val="142474B9"/>
    <w:rsid w:val="14352F52"/>
    <w:rsid w:val="14583782"/>
    <w:rsid w:val="145A2EDB"/>
    <w:rsid w:val="145D4C5B"/>
    <w:rsid w:val="14665D24"/>
    <w:rsid w:val="14B8192B"/>
    <w:rsid w:val="14C50C9C"/>
    <w:rsid w:val="14E6329C"/>
    <w:rsid w:val="150943B1"/>
    <w:rsid w:val="15716861"/>
    <w:rsid w:val="157D50D3"/>
    <w:rsid w:val="15B87B37"/>
    <w:rsid w:val="15C877C5"/>
    <w:rsid w:val="162E0310"/>
    <w:rsid w:val="16570F0D"/>
    <w:rsid w:val="16573B76"/>
    <w:rsid w:val="167112EB"/>
    <w:rsid w:val="167A5AB7"/>
    <w:rsid w:val="16817F24"/>
    <w:rsid w:val="16A23E1D"/>
    <w:rsid w:val="16BD3139"/>
    <w:rsid w:val="16E17E01"/>
    <w:rsid w:val="171C6B6E"/>
    <w:rsid w:val="17482E24"/>
    <w:rsid w:val="175334D6"/>
    <w:rsid w:val="17571954"/>
    <w:rsid w:val="175864D1"/>
    <w:rsid w:val="17587F76"/>
    <w:rsid w:val="176A2F26"/>
    <w:rsid w:val="17810102"/>
    <w:rsid w:val="179C1781"/>
    <w:rsid w:val="17A14224"/>
    <w:rsid w:val="17C25284"/>
    <w:rsid w:val="17F954FC"/>
    <w:rsid w:val="17FC1226"/>
    <w:rsid w:val="18187FF9"/>
    <w:rsid w:val="182B7267"/>
    <w:rsid w:val="182D7E32"/>
    <w:rsid w:val="18463EA2"/>
    <w:rsid w:val="184C17F8"/>
    <w:rsid w:val="18544E28"/>
    <w:rsid w:val="186B04F7"/>
    <w:rsid w:val="186D7FC6"/>
    <w:rsid w:val="18811B21"/>
    <w:rsid w:val="18B30CCC"/>
    <w:rsid w:val="18CD1914"/>
    <w:rsid w:val="18DC74ED"/>
    <w:rsid w:val="192C1E30"/>
    <w:rsid w:val="19371A3D"/>
    <w:rsid w:val="193C4EDF"/>
    <w:rsid w:val="197776A3"/>
    <w:rsid w:val="198D5ADA"/>
    <w:rsid w:val="1999027B"/>
    <w:rsid w:val="19EE3E18"/>
    <w:rsid w:val="1A4C776A"/>
    <w:rsid w:val="1A5F47FD"/>
    <w:rsid w:val="1A80748F"/>
    <w:rsid w:val="1AB21A24"/>
    <w:rsid w:val="1AE61082"/>
    <w:rsid w:val="1AF6343C"/>
    <w:rsid w:val="1B1E1106"/>
    <w:rsid w:val="1B1F3055"/>
    <w:rsid w:val="1B522B2E"/>
    <w:rsid w:val="1B666609"/>
    <w:rsid w:val="1B735B3A"/>
    <w:rsid w:val="1BC577D4"/>
    <w:rsid w:val="1BD25C3F"/>
    <w:rsid w:val="1BE229B0"/>
    <w:rsid w:val="1BF9747E"/>
    <w:rsid w:val="1C551050"/>
    <w:rsid w:val="1C5B1EE6"/>
    <w:rsid w:val="1C8E7BC6"/>
    <w:rsid w:val="1C9A47BD"/>
    <w:rsid w:val="1CAD28B3"/>
    <w:rsid w:val="1CC23D13"/>
    <w:rsid w:val="1CDA2E0B"/>
    <w:rsid w:val="1D153800"/>
    <w:rsid w:val="1D2E3FC8"/>
    <w:rsid w:val="1D5B55F1"/>
    <w:rsid w:val="1D627564"/>
    <w:rsid w:val="1D6F0EDB"/>
    <w:rsid w:val="1D884F5D"/>
    <w:rsid w:val="1DB14B35"/>
    <w:rsid w:val="1DB96EC4"/>
    <w:rsid w:val="1DCF0333"/>
    <w:rsid w:val="1DE5216B"/>
    <w:rsid w:val="1E001693"/>
    <w:rsid w:val="1E097CB5"/>
    <w:rsid w:val="1E70382D"/>
    <w:rsid w:val="1EFA7794"/>
    <w:rsid w:val="1EFB52BB"/>
    <w:rsid w:val="1F30765A"/>
    <w:rsid w:val="1F394761"/>
    <w:rsid w:val="1F9C084C"/>
    <w:rsid w:val="1FBE4C66"/>
    <w:rsid w:val="1FBE6552"/>
    <w:rsid w:val="1FBF6722"/>
    <w:rsid w:val="1FE9125C"/>
    <w:rsid w:val="201824BA"/>
    <w:rsid w:val="20270A5D"/>
    <w:rsid w:val="202A4FF9"/>
    <w:rsid w:val="20357B0D"/>
    <w:rsid w:val="20402AAE"/>
    <w:rsid w:val="204725D3"/>
    <w:rsid w:val="20500607"/>
    <w:rsid w:val="206A26F8"/>
    <w:rsid w:val="206F0F06"/>
    <w:rsid w:val="208F0F94"/>
    <w:rsid w:val="20967C9F"/>
    <w:rsid w:val="20BE47F2"/>
    <w:rsid w:val="20CA7610"/>
    <w:rsid w:val="20E95801"/>
    <w:rsid w:val="2109407E"/>
    <w:rsid w:val="211C60E8"/>
    <w:rsid w:val="21AE3327"/>
    <w:rsid w:val="21BC5ED0"/>
    <w:rsid w:val="21C3090A"/>
    <w:rsid w:val="21DF2C72"/>
    <w:rsid w:val="2217240B"/>
    <w:rsid w:val="221942E1"/>
    <w:rsid w:val="222768F8"/>
    <w:rsid w:val="22365CE8"/>
    <w:rsid w:val="224262A1"/>
    <w:rsid w:val="224D407F"/>
    <w:rsid w:val="226E565D"/>
    <w:rsid w:val="228F6446"/>
    <w:rsid w:val="22BA1F6C"/>
    <w:rsid w:val="22BF794B"/>
    <w:rsid w:val="22C4208E"/>
    <w:rsid w:val="22D402FC"/>
    <w:rsid w:val="22FE485F"/>
    <w:rsid w:val="23155FA0"/>
    <w:rsid w:val="236756A0"/>
    <w:rsid w:val="237815C8"/>
    <w:rsid w:val="237815D0"/>
    <w:rsid w:val="237A48AC"/>
    <w:rsid w:val="23841D23"/>
    <w:rsid w:val="23886FF4"/>
    <w:rsid w:val="239B23B4"/>
    <w:rsid w:val="239C4C28"/>
    <w:rsid w:val="239D1036"/>
    <w:rsid w:val="23A83C63"/>
    <w:rsid w:val="23D34A58"/>
    <w:rsid w:val="23E64E0B"/>
    <w:rsid w:val="23EF5815"/>
    <w:rsid w:val="24264B88"/>
    <w:rsid w:val="242928BB"/>
    <w:rsid w:val="242D222A"/>
    <w:rsid w:val="242F484E"/>
    <w:rsid w:val="24DD793C"/>
    <w:rsid w:val="24F24E81"/>
    <w:rsid w:val="25076767"/>
    <w:rsid w:val="25311A36"/>
    <w:rsid w:val="254A1175"/>
    <w:rsid w:val="25513446"/>
    <w:rsid w:val="25634B97"/>
    <w:rsid w:val="256664D4"/>
    <w:rsid w:val="25690E99"/>
    <w:rsid w:val="257A518B"/>
    <w:rsid w:val="25891872"/>
    <w:rsid w:val="25AC7956"/>
    <w:rsid w:val="25AF4E84"/>
    <w:rsid w:val="25B06DFF"/>
    <w:rsid w:val="26323CB8"/>
    <w:rsid w:val="263A38A0"/>
    <w:rsid w:val="264646D6"/>
    <w:rsid w:val="264C0063"/>
    <w:rsid w:val="265B3DF5"/>
    <w:rsid w:val="26625EDD"/>
    <w:rsid w:val="26953C53"/>
    <w:rsid w:val="26964B07"/>
    <w:rsid w:val="26E6125B"/>
    <w:rsid w:val="26E9329E"/>
    <w:rsid w:val="272E7828"/>
    <w:rsid w:val="276B56D3"/>
    <w:rsid w:val="277C287E"/>
    <w:rsid w:val="278E0648"/>
    <w:rsid w:val="27A326FC"/>
    <w:rsid w:val="27C16042"/>
    <w:rsid w:val="27CE7A10"/>
    <w:rsid w:val="27F07987"/>
    <w:rsid w:val="27F17977"/>
    <w:rsid w:val="28036FD4"/>
    <w:rsid w:val="282D6FBC"/>
    <w:rsid w:val="28506677"/>
    <w:rsid w:val="28610884"/>
    <w:rsid w:val="28A95D87"/>
    <w:rsid w:val="28BE4312"/>
    <w:rsid w:val="28CF7C4D"/>
    <w:rsid w:val="28D05B6D"/>
    <w:rsid w:val="28DC40B6"/>
    <w:rsid w:val="290A1377"/>
    <w:rsid w:val="290A2CCA"/>
    <w:rsid w:val="291B41B2"/>
    <w:rsid w:val="291C06AE"/>
    <w:rsid w:val="291E6775"/>
    <w:rsid w:val="293F74A8"/>
    <w:rsid w:val="29427E84"/>
    <w:rsid w:val="295E6B72"/>
    <w:rsid w:val="29675EC6"/>
    <w:rsid w:val="296C128F"/>
    <w:rsid w:val="299E458F"/>
    <w:rsid w:val="29AC5B2F"/>
    <w:rsid w:val="29BC31AF"/>
    <w:rsid w:val="29DB4666"/>
    <w:rsid w:val="29E61544"/>
    <w:rsid w:val="29F85944"/>
    <w:rsid w:val="2A297180"/>
    <w:rsid w:val="2A3C5105"/>
    <w:rsid w:val="2A48273F"/>
    <w:rsid w:val="2A77438F"/>
    <w:rsid w:val="2A8D3BB3"/>
    <w:rsid w:val="2AC30DBF"/>
    <w:rsid w:val="2ACA6602"/>
    <w:rsid w:val="2AD43590"/>
    <w:rsid w:val="2AF314CA"/>
    <w:rsid w:val="2B0A5203"/>
    <w:rsid w:val="2B146082"/>
    <w:rsid w:val="2B3109E2"/>
    <w:rsid w:val="2B41309D"/>
    <w:rsid w:val="2B5841C1"/>
    <w:rsid w:val="2BAF1363"/>
    <w:rsid w:val="2BC03B14"/>
    <w:rsid w:val="2BFF572F"/>
    <w:rsid w:val="2C201F9A"/>
    <w:rsid w:val="2C203246"/>
    <w:rsid w:val="2C3047F6"/>
    <w:rsid w:val="2C5F332D"/>
    <w:rsid w:val="2C5F3870"/>
    <w:rsid w:val="2C7C225B"/>
    <w:rsid w:val="2C994A91"/>
    <w:rsid w:val="2C9D1810"/>
    <w:rsid w:val="2CB03B88"/>
    <w:rsid w:val="2D275CD5"/>
    <w:rsid w:val="2D38032A"/>
    <w:rsid w:val="2D4A5D8B"/>
    <w:rsid w:val="2D742896"/>
    <w:rsid w:val="2D78041A"/>
    <w:rsid w:val="2D7C4FB3"/>
    <w:rsid w:val="2D854C83"/>
    <w:rsid w:val="2D932EF4"/>
    <w:rsid w:val="2D94192A"/>
    <w:rsid w:val="2DB5581A"/>
    <w:rsid w:val="2DBF0527"/>
    <w:rsid w:val="2DC01BA9"/>
    <w:rsid w:val="2DCC49F2"/>
    <w:rsid w:val="2E00645C"/>
    <w:rsid w:val="2E016928"/>
    <w:rsid w:val="2E334A71"/>
    <w:rsid w:val="2E364D82"/>
    <w:rsid w:val="2E3B28AD"/>
    <w:rsid w:val="2E3D58F0"/>
    <w:rsid w:val="2E884DBD"/>
    <w:rsid w:val="2EB3170E"/>
    <w:rsid w:val="2EE116CD"/>
    <w:rsid w:val="2EF7784D"/>
    <w:rsid w:val="2EFE7769"/>
    <w:rsid w:val="2F266384"/>
    <w:rsid w:val="2F395375"/>
    <w:rsid w:val="2F4F7689"/>
    <w:rsid w:val="2FB37223"/>
    <w:rsid w:val="2FB63264"/>
    <w:rsid w:val="2FB66D88"/>
    <w:rsid w:val="2FD63906"/>
    <w:rsid w:val="2FE53B49"/>
    <w:rsid w:val="2FE84D56"/>
    <w:rsid w:val="3004306C"/>
    <w:rsid w:val="300D4E4E"/>
    <w:rsid w:val="30184CFA"/>
    <w:rsid w:val="303E15A2"/>
    <w:rsid w:val="307A2172"/>
    <w:rsid w:val="307D60E4"/>
    <w:rsid w:val="30BA4FFC"/>
    <w:rsid w:val="30CB70E3"/>
    <w:rsid w:val="30DB6CFA"/>
    <w:rsid w:val="31223B3B"/>
    <w:rsid w:val="315A2315"/>
    <w:rsid w:val="315E1EA9"/>
    <w:rsid w:val="318D6246"/>
    <w:rsid w:val="31A041CB"/>
    <w:rsid w:val="31A55C9A"/>
    <w:rsid w:val="31CF1684"/>
    <w:rsid w:val="31FE5B4B"/>
    <w:rsid w:val="31FE7144"/>
    <w:rsid w:val="32342B66"/>
    <w:rsid w:val="324D416C"/>
    <w:rsid w:val="329C5CC6"/>
    <w:rsid w:val="32CB34CA"/>
    <w:rsid w:val="32FA5B5D"/>
    <w:rsid w:val="33141725"/>
    <w:rsid w:val="3316226B"/>
    <w:rsid w:val="33241DB4"/>
    <w:rsid w:val="333C6176"/>
    <w:rsid w:val="336C00DF"/>
    <w:rsid w:val="33867AAC"/>
    <w:rsid w:val="33BF0F75"/>
    <w:rsid w:val="33C824E2"/>
    <w:rsid w:val="33ED121E"/>
    <w:rsid w:val="33F17DD2"/>
    <w:rsid w:val="340547BA"/>
    <w:rsid w:val="34261578"/>
    <w:rsid w:val="343E1A7A"/>
    <w:rsid w:val="34401C96"/>
    <w:rsid w:val="34496D9C"/>
    <w:rsid w:val="34570990"/>
    <w:rsid w:val="3459558D"/>
    <w:rsid w:val="346C7B0F"/>
    <w:rsid w:val="346E2447"/>
    <w:rsid w:val="34CA30CB"/>
    <w:rsid w:val="34F00952"/>
    <w:rsid w:val="352A7A92"/>
    <w:rsid w:val="356910D3"/>
    <w:rsid w:val="356A1091"/>
    <w:rsid w:val="356C2617"/>
    <w:rsid w:val="35775742"/>
    <w:rsid w:val="35810E27"/>
    <w:rsid w:val="35BC534C"/>
    <w:rsid w:val="35E6686D"/>
    <w:rsid w:val="35FA0210"/>
    <w:rsid w:val="360C16FF"/>
    <w:rsid w:val="36242039"/>
    <w:rsid w:val="36353F83"/>
    <w:rsid w:val="364A40BB"/>
    <w:rsid w:val="364F61C0"/>
    <w:rsid w:val="367479D5"/>
    <w:rsid w:val="36AA789A"/>
    <w:rsid w:val="36AD2EE7"/>
    <w:rsid w:val="36C97C97"/>
    <w:rsid w:val="36FF7BE6"/>
    <w:rsid w:val="37184CBE"/>
    <w:rsid w:val="3719776A"/>
    <w:rsid w:val="3732091F"/>
    <w:rsid w:val="373D24BC"/>
    <w:rsid w:val="374E4EC6"/>
    <w:rsid w:val="37620175"/>
    <w:rsid w:val="37A4092F"/>
    <w:rsid w:val="37A96F8F"/>
    <w:rsid w:val="37C355F3"/>
    <w:rsid w:val="37C73064"/>
    <w:rsid w:val="37E04E01"/>
    <w:rsid w:val="37E20B56"/>
    <w:rsid w:val="37E73517"/>
    <w:rsid w:val="37F33AF3"/>
    <w:rsid w:val="380353FD"/>
    <w:rsid w:val="38091759"/>
    <w:rsid w:val="380A25EA"/>
    <w:rsid w:val="382275F5"/>
    <w:rsid w:val="384C229E"/>
    <w:rsid w:val="38767A34"/>
    <w:rsid w:val="38815592"/>
    <w:rsid w:val="38942C2A"/>
    <w:rsid w:val="38997BC6"/>
    <w:rsid w:val="389C4947"/>
    <w:rsid w:val="38DB3D3B"/>
    <w:rsid w:val="392A6A70"/>
    <w:rsid w:val="392A766B"/>
    <w:rsid w:val="39457808"/>
    <w:rsid w:val="39671A73"/>
    <w:rsid w:val="39DC420F"/>
    <w:rsid w:val="39E62997"/>
    <w:rsid w:val="3A233BEC"/>
    <w:rsid w:val="3A290FE1"/>
    <w:rsid w:val="3A577D39"/>
    <w:rsid w:val="3A683CF4"/>
    <w:rsid w:val="3A7926FF"/>
    <w:rsid w:val="3A940645"/>
    <w:rsid w:val="3AB150A2"/>
    <w:rsid w:val="3AC03D6F"/>
    <w:rsid w:val="3AC36FF0"/>
    <w:rsid w:val="3B690C27"/>
    <w:rsid w:val="3BCE06A7"/>
    <w:rsid w:val="3BF16211"/>
    <w:rsid w:val="3CA55987"/>
    <w:rsid w:val="3CAE71CB"/>
    <w:rsid w:val="3CAF14B1"/>
    <w:rsid w:val="3CB72715"/>
    <w:rsid w:val="3CB8475C"/>
    <w:rsid w:val="3CE82ECA"/>
    <w:rsid w:val="3D1B4F89"/>
    <w:rsid w:val="3D23544E"/>
    <w:rsid w:val="3D344362"/>
    <w:rsid w:val="3D37175C"/>
    <w:rsid w:val="3D3E5145"/>
    <w:rsid w:val="3D5D4917"/>
    <w:rsid w:val="3D8A0C6C"/>
    <w:rsid w:val="3DAD229C"/>
    <w:rsid w:val="3DC93AE4"/>
    <w:rsid w:val="3DE6740A"/>
    <w:rsid w:val="3DFC32FE"/>
    <w:rsid w:val="3E012F70"/>
    <w:rsid w:val="3E105C2F"/>
    <w:rsid w:val="3E2E539E"/>
    <w:rsid w:val="3E38578C"/>
    <w:rsid w:val="3E6D1A7C"/>
    <w:rsid w:val="3E862A1D"/>
    <w:rsid w:val="3E895FE7"/>
    <w:rsid w:val="3EAD43CC"/>
    <w:rsid w:val="3F070B8F"/>
    <w:rsid w:val="3F5847F0"/>
    <w:rsid w:val="3F7D7F51"/>
    <w:rsid w:val="3F7F2B3A"/>
    <w:rsid w:val="3FA330D9"/>
    <w:rsid w:val="3FB5178A"/>
    <w:rsid w:val="3FC714BD"/>
    <w:rsid w:val="3FCF3ECE"/>
    <w:rsid w:val="3FD24BD5"/>
    <w:rsid w:val="3FD31C10"/>
    <w:rsid w:val="3FD51006"/>
    <w:rsid w:val="3FE66C87"/>
    <w:rsid w:val="3FEA4EE0"/>
    <w:rsid w:val="400543F1"/>
    <w:rsid w:val="40132BD6"/>
    <w:rsid w:val="401749D2"/>
    <w:rsid w:val="401B7FD8"/>
    <w:rsid w:val="40381A73"/>
    <w:rsid w:val="404C551E"/>
    <w:rsid w:val="40562A3E"/>
    <w:rsid w:val="40720C65"/>
    <w:rsid w:val="409258F0"/>
    <w:rsid w:val="40C477AB"/>
    <w:rsid w:val="40E07082"/>
    <w:rsid w:val="410C12F3"/>
    <w:rsid w:val="41202C33"/>
    <w:rsid w:val="41263FC1"/>
    <w:rsid w:val="418F295E"/>
    <w:rsid w:val="41A970CC"/>
    <w:rsid w:val="41B25C9F"/>
    <w:rsid w:val="41E07D3E"/>
    <w:rsid w:val="41E47950"/>
    <w:rsid w:val="41E73751"/>
    <w:rsid w:val="42446DF5"/>
    <w:rsid w:val="425B2A6D"/>
    <w:rsid w:val="427C4C19"/>
    <w:rsid w:val="42887511"/>
    <w:rsid w:val="42A47894"/>
    <w:rsid w:val="42AD648E"/>
    <w:rsid w:val="42FA567F"/>
    <w:rsid w:val="43086DEE"/>
    <w:rsid w:val="43350FEE"/>
    <w:rsid w:val="434056F4"/>
    <w:rsid w:val="43547714"/>
    <w:rsid w:val="439C056B"/>
    <w:rsid w:val="43A7763B"/>
    <w:rsid w:val="43AF029E"/>
    <w:rsid w:val="43C743B1"/>
    <w:rsid w:val="44251FBE"/>
    <w:rsid w:val="442B201A"/>
    <w:rsid w:val="44362551"/>
    <w:rsid w:val="444F2E96"/>
    <w:rsid w:val="44641089"/>
    <w:rsid w:val="448B2EE3"/>
    <w:rsid w:val="44A122DD"/>
    <w:rsid w:val="44B43936"/>
    <w:rsid w:val="44BA4AE9"/>
    <w:rsid w:val="44D0671E"/>
    <w:rsid w:val="44EC5230"/>
    <w:rsid w:val="4545799C"/>
    <w:rsid w:val="45481D42"/>
    <w:rsid w:val="455930C0"/>
    <w:rsid w:val="457E739F"/>
    <w:rsid w:val="4585575A"/>
    <w:rsid w:val="459140F5"/>
    <w:rsid w:val="45997458"/>
    <w:rsid w:val="45BB2E1D"/>
    <w:rsid w:val="45D61170"/>
    <w:rsid w:val="45D842A1"/>
    <w:rsid w:val="46180FA4"/>
    <w:rsid w:val="461B60BF"/>
    <w:rsid w:val="46367644"/>
    <w:rsid w:val="467C4FF4"/>
    <w:rsid w:val="469B0FAE"/>
    <w:rsid w:val="46A44003"/>
    <w:rsid w:val="46B55F45"/>
    <w:rsid w:val="46C67DD9"/>
    <w:rsid w:val="46ED269E"/>
    <w:rsid w:val="47040EF0"/>
    <w:rsid w:val="470F30F7"/>
    <w:rsid w:val="470F6E1D"/>
    <w:rsid w:val="47256067"/>
    <w:rsid w:val="472A0F19"/>
    <w:rsid w:val="474213E4"/>
    <w:rsid w:val="474433F3"/>
    <w:rsid w:val="474814DC"/>
    <w:rsid w:val="47631ACB"/>
    <w:rsid w:val="47683713"/>
    <w:rsid w:val="47990732"/>
    <w:rsid w:val="47AC1A31"/>
    <w:rsid w:val="47B0258F"/>
    <w:rsid w:val="47B265AF"/>
    <w:rsid w:val="47C167F2"/>
    <w:rsid w:val="47C46646"/>
    <w:rsid w:val="47C84024"/>
    <w:rsid w:val="47E26076"/>
    <w:rsid w:val="47E26E94"/>
    <w:rsid w:val="47FB3172"/>
    <w:rsid w:val="47FE7B25"/>
    <w:rsid w:val="482C2EA4"/>
    <w:rsid w:val="48331749"/>
    <w:rsid w:val="48401E0D"/>
    <w:rsid w:val="48877A3B"/>
    <w:rsid w:val="48894403"/>
    <w:rsid w:val="48AA0294"/>
    <w:rsid w:val="48AC0A44"/>
    <w:rsid w:val="48B51308"/>
    <w:rsid w:val="48BA4E2E"/>
    <w:rsid w:val="48EB1D78"/>
    <w:rsid w:val="490746D8"/>
    <w:rsid w:val="492C413F"/>
    <w:rsid w:val="49324303"/>
    <w:rsid w:val="493975F3"/>
    <w:rsid w:val="49507E2D"/>
    <w:rsid w:val="495825DA"/>
    <w:rsid w:val="495D63AA"/>
    <w:rsid w:val="497302D9"/>
    <w:rsid w:val="49865F45"/>
    <w:rsid w:val="49971F00"/>
    <w:rsid w:val="499D3D71"/>
    <w:rsid w:val="49C12AD9"/>
    <w:rsid w:val="49DF6D3E"/>
    <w:rsid w:val="49E26555"/>
    <w:rsid w:val="49E26D28"/>
    <w:rsid w:val="4A2C2648"/>
    <w:rsid w:val="4A4F27DB"/>
    <w:rsid w:val="4A761B16"/>
    <w:rsid w:val="4A954692"/>
    <w:rsid w:val="4ABB1C1E"/>
    <w:rsid w:val="4AEA6060"/>
    <w:rsid w:val="4AFC7A40"/>
    <w:rsid w:val="4B1B26BD"/>
    <w:rsid w:val="4B1D4429"/>
    <w:rsid w:val="4B3F0159"/>
    <w:rsid w:val="4B425E9C"/>
    <w:rsid w:val="4B5050A5"/>
    <w:rsid w:val="4B5475B5"/>
    <w:rsid w:val="4B55797D"/>
    <w:rsid w:val="4B6556AD"/>
    <w:rsid w:val="4B693428"/>
    <w:rsid w:val="4B8D52DD"/>
    <w:rsid w:val="4B9018D0"/>
    <w:rsid w:val="4B9A64FB"/>
    <w:rsid w:val="4BB31FE7"/>
    <w:rsid w:val="4BB9615E"/>
    <w:rsid w:val="4BD95A61"/>
    <w:rsid w:val="4BDA776C"/>
    <w:rsid w:val="4BE26E8C"/>
    <w:rsid w:val="4C141D8F"/>
    <w:rsid w:val="4C3D195E"/>
    <w:rsid w:val="4C4F23E8"/>
    <w:rsid w:val="4C733F00"/>
    <w:rsid w:val="4C7C1706"/>
    <w:rsid w:val="4C8524E4"/>
    <w:rsid w:val="4C8830B9"/>
    <w:rsid w:val="4C8A387B"/>
    <w:rsid w:val="4C9A500B"/>
    <w:rsid w:val="4C9D15DC"/>
    <w:rsid w:val="4CAC5CC3"/>
    <w:rsid w:val="4CF44A19"/>
    <w:rsid w:val="4CFA6AB0"/>
    <w:rsid w:val="4CFB6EFC"/>
    <w:rsid w:val="4CFE603D"/>
    <w:rsid w:val="4D155616"/>
    <w:rsid w:val="4D1B2303"/>
    <w:rsid w:val="4D2668ED"/>
    <w:rsid w:val="4D344A7D"/>
    <w:rsid w:val="4D3D4B6D"/>
    <w:rsid w:val="4D625C76"/>
    <w:rsid w:val="4D6F5E2A"/>
    <w:rsid w:val="4D767F72"/>
    <w:rsid w:val="4D7B6F8D"/>
    <w:rsid w:val="4D9753E4"/>
    <w:rsid w:val="4DAB41CC"/>
    <w:rsid w:val="4DBD7A5B"/>
    <w:rsid w:val="4DC66910"/>
    <w:rsid w:val="4DDB6BDF"/>
    <w:rsid w:val="4DDC4386"/>
    <w:rsid w:val="4DF25957"/>
    <w:rsid w:val="4DF609C4"/>
    <w:rsid w:val="4E5442F8"/>
    <w:rsid w:val="4E807407"/>
    <w:rsid w:val="4E9340AA"/>
    <w:rsid w:val="4E9536FD"/>
    <w:rsid w:val="4E9F7009"/>
    <w:rsid w:val="4ECC7CA4"/>
    <w:rsid w:val="4ECF7A46"/>
    <w:rsid w:val="4ECF7B24"/>
    <w:rsid w:val="4EDD5C2C"/>
    <w:rsid w:val="4EE01356"/>
    <w:rsid w:val="4F102A57"/>
    <w:rsid w:val="4F1D36DF"/>
    <w:rsid w:val="4F220944"/>
    <w:rsid w:val="4F4E4E0F"/>
    <w:rsid w:val="4F5D5052"/>
    <w:rsid w:val="4F601ECF"/>
    <w:rsid w:val="4F725EB0"/>
    <w:rsid w:val="4F806F93"/>
    <w:rsid w:val="4F914825"/>
    <w:rsid w:val="4FA669F9"/>
    <w:rsid w:val="4FD277EE"/>
    <w:rsid w:val="50000D82"/>
    <w:rsid w:val="50035746"/>
    <w:rsid w:val="503F29AA"/>
    <w:rsid w:val="504E2060"/>
    <w:rsid w:val="50504BB7"/>
    <w:rsid w:val="50591CBD"/>
    <w:rsid w:val="506D7517"/>
    <w:rsid w:val="50757A07"/>
    <w:rsid w:val="508A0C46"/>
    <w:rsid w:val="50946E18"/>
    <w:rsid w:val="50B138A7"/>
    <w:rsid w:val="50EA500B"/>
    <w:rsid w:val="50EB63E9"/>
    <w:rsid w:val="51281690"/>
    <w:rsid w:val="512E0634"/>
    <w:rsid w:val="5134567A"/>
    <w:rsid w:val="51540D98"/>
    <w:rsid w:val="515B6A4A"/>
    <w:rsid w:val="517A2091"/>
    <w:rsid w:val="517B5C63"/>
    <w:rsid w:val="51B11685"/>
    <w:rsid w:val="51BC15A9"/>
    <w:rsid w:val="51E028C2"/>
    <w:rsid w:val="52416EAD"/>
    <w:rsid w:val="52483232"/>
    <w:rsid w:val="5261161F"/>
    <w:rsid w:val="52707792"/>
    <w:rsid w:val="52831274"/>
    <w:rsid w:val="52964CBA"/>
    <w:rsid w:val="52A46538"/>
    <w:rsid w:val="52AB5222"/>
    <w:rsid w:val="52CD0008"/>
    <w:rsid w:val="52EF283C"/>
    <w:rsid w:val="52FD1026"/>
    <w:rsid w:val="530D647F"/>
    <w:rsid w:val="5316288B"/>
    <w:rsid w:val="531811C5"/>
    <w:rsid w:val="531F6E85"/>
    <w:rsid w:val="536F4CBE"/>
    <w:rsid w:val="53777CC9"/>
    <w:rsid w:val="53BA3C2A"/>
    <w:rsid w:val="53C11BA9"/>
    <w:rsid w:val="53D578AD"/>
    <w:rsid w:val="5408251D"/>
    <w:rsid w:val="543842E0"/>
    <w:rsid w:val="5486144E"/>
    <w:rsid w:val="548E50B1"/>
    <w:rsid w:val="54BF230B"/>
    <w:rsid w:val="54C12C6E"/>
    <w:rsid w:val="54EC5E3E"/>
    <w:rsid w:val="54FC355F"/>
    <w:rsid w:val="55034A33"/>
    <w:rsid w:val="55206FB6"/>
    <w:rsid w:val="556D5B28"/>
    <w:rsid w:val="558E3C2E"/>
    <w:rsid w:val="55A13923"/>
    <w:rsid w:val="55B26ECA"/>
    <w:rsid w:val="55C0458D"/>
    <w:rsid w:val="55DA41A3"/>
    <w:rsid w:val="560403F4"/>
    <w:rsid w:val="56067480"/>
    <w:rsid w:val="56462CE4"/>
    <w:rsid w:val="56705D17"/>
    <w:rsid w:val="568534EA"/>
    <w:rsid w:val="56C35317"/>
    <w:rsid w:val="56C63E25"/>
    <w:rsid w:val="56D9212E"/>
    <w:rsid w:val="56DA167E"/>
    <w:rsid w:val="56DE02E4"/>
    <w:rsid w:val="56E87A80"/>
    <w:rsid w:val="571F7091"/>
    <w:rsid w:val="57272B15"/>
    <w:rsid w:val="572C48AA"/>
    <w:rsid w:val="57615CDE"/>
    <w:rsid w:val="576176AA"/>
    <w:rsid w:val="576A0C54"/>
    <w:rsid w:val="57747498"/>
    <w:rsid w:val="57877110"/>
    <w:rsid w:val="57B679F5"/>
    <w:rsid w:val="57B95D06"/>
    <w:rsid w:val="57BA6CCD"/>
    <w:rsid w:val="57BD0959"/>
    <w:rsid w:val="57C84D21"/>
    <w:rsid w:val="57EA769F"/>
    <w:rsid w:val="57F463E7"/>
    <w:rsid w:val="58053A79"/>
    <w:rsid w:val="580E2D09"/>
    <w:rsid w:val="58296419"/>
    <w:rsid w:val="58C4295D"/>
    <w:rsid w:val="58C61EBA"/>
    <w:rsid w:val="58CD6AD3"/>
    <w:rsid w:val="58CE6FC1"/>
    <w:rsid w:val="58E230FD"/>
    <w:rsid w:val="58F033DB"/>
    <w:rsid w:val="58F84874"/>
    <w:rsid w:val="59192EFA"/>
    <w:rsid w:val="591C6869"/>
    <w:rsid w:val="5935703B"/>
    <w:rsid w:val="593575EF"/>
    <w:rsid w:val="594A0CAC"/>
    <w:rsid w:val="59597221"/>
    <w:rsid w:val="596D7C77"/>
    <w:rsid w:val="599C2C1B"/>
    <w:rsid w:val="59CA7788"/>
    <w:rsid w:val="59F36B47"/>
    <w:rsid w:val="59FF3B7C"/>
    <w:rsid w:val="5A3C08E2"/>
    <w:rsid w:val="5A4A5760"/>
    <w:rsid w:val="5A844080"/>
    <w:rsid w:val="5A90452E"/>
    <w:rsid w:val="5A925980"/>
    <w:rsid w:val="5A9D2AC0"/>
    <w:rsid w:val="5AA75321"/>
    <w:rsid w:val="5AF26223"/>
    <w:rsid w:val="5B1E5FDD"/>
    <w:rsid w:val="5B4E6591"/>
    <w:rsid w:val="5B57329D"/>
    <w:rsid w:val="5B7403AB"/>
    <w:rsid w:val="5B8125E7"/>
    <w:rsid w:val="5B841BB9"/>
    <w:rsid w:val="5BAA14ED"/>
    <w:rsid w:val="5BBE28F9"/>
    <w:rsid w:val="5BD26D25"/>
    <w:rsid w:val="5BEC5DA2"/>
    <w:rsid w:val="5BF44F90"/>
    <w:rsid w:val="5C245875"/>
    <w:rsid w:val="5C381840"/>
    <w:rsid w:val="5C3B2BBF"/>
    <w:rsid w:val="5C4A051B"/>
    <w:rsid w:val="5CA92850"/>
    <w:rsid w:val="5CAA564F"/>
    <w:rsid w:val="5CE04D2D"/>
    <w:rsid w:val="5CE70651"/>
    <w:rsid w:val="5D066AB3"/>
    <w:rsid w:val="5D0D2446"/>
    <w:rsid w:val="5D4B0BE0"/>
    <w:rsid w:val="5D683073"/>
    <w:rsid w:val="5DC0589E"/>
    <w:rsid w:val="5DC664B8"/>
    <w:rsid w:val="5DD92690"/>
    <w:rsid w:val="5E0F60B1"/>
    <w:rsid w:val="5E0F7E5F"/>
    <w:rsid w:val="5E304E22"/>
    <w:rsid w:val="5E765647"/>
    <w:rsid w:val="5E765DF7"/>
    <w:rsid w:val="5EB14C3F"/>
    <w:rsid w:val="5ECE751B"/>
    <w:rsid w:val="5F1D6273"/>
    <w:rsid w:val="5F225970"/>
    <w:rsid w:val="5F56076B"/>
    <w:rsid w:val="5F984CAA"/>
    <w:rsid w:val="5FA2748E"/>
    <w:rsid w:val="5FD0361E"/>
    <w:rsid w:val="5FE02887"/>
    <w:rsid w:val="5FEA2932"/>
    <w:rsid w:val="60251BBC"/>
    <w:rsid w:val="605C4621"/>
    <w:rsid w:val="605C7B6E"/>
    <w:rsid w:val="60692E08"/>
    <w:rsid w:val="607246D5"/>
    <w:rsid w:val="6078330F"/>
    <w:rsid w:val="608341FE"/>
    <w:rsid w:val="60C03693"/>
    <w:rsid w:val="60C34F31"/>
    <w:rsid w:val="60CB103F"/>
    <w:rsid w:val="60EA5A29"/>
    <w:rsid w:val="60EA6962"/>
    <w:rsid w:val="61215109"/>
    <w:rsid w:val="61224886"/>
    <w:rsid w:val="614B7400"/>
    <w:rsid w:val="615E35D8"/>
    <w:rsid w:val="61B01A35"/>
    <w:rsid w:val="61B40852"/>
    <w:rsid w:val="61BC3E5D"/>
    <w:rsid w:val="61C15914"/>
    <w:rsid w:val="61DE683B"/>
    <w:rsid w:val="61E67F77"/>
    <w:rsid w:val="61F20919"/>
    <w:rsid w:val="62087B8C"/>
    <w:rsid w:val="6223037D"/>
    <w:rsid w:val="62411F2B"/>
    <w:rsid w:val="624329AF"/>
    <w:rsid w:val="62AE0E01"/>
    <w:rsid w:val="62B04EA3"/>
    <w:rsid w:val="62BA6427"/>
    <w:rsid w:val="62C67273"/>
    <w:rsid w:val="62C751AC"/>
    <w:rsid w:val="62E05ECE"/>
    <w:rsid w:val="62F87114"/>
    <w:rsid w:val="62FB38F7"/>
    <w:rsid w:val="6322001B"/>
    <w:rsid w:val="633321EC"/>
    <w:rsid w:val="638E641B"/>
    <w:rsid w:val="639332E1"/>
    <w:rsid w:val="63E14221"/>
    <w:rsid w:val="64023ED8"/>
    <w:rsid w:val="643C2F76"/>
    <w:rsid w:val="643E6AAD"/>
    <w:rsid w:val="644840CB"/>
    <w:rsid w:val="64767B9B"/>
    <w:rsid w:val="64852479"/>
    <w:rsid w:val="648D1ADE"/>
    <w:rsid w:val="64CE2822"/>
    <w:rsid w:val="64EB61AD"/>
    <w:rsid w:val="64FB5130"/>
    <w:rsid w:val="6503095F"/>
    <w:rsid w:val="652E5B7C"/>
    <w:rsid w:val="655A2308"/>
    <w:rsid w:val="657F6A19"/>
    <w:rsid w:val="65A93AEA"/>
    <w:rsid w:val="65AC2438"/>
    <w:rsid w:val="65B66D6C"/>
    <w:rsid w:val="65D57BE0"/>
    <w:rsid w:val="66103B7D"/>
    <w:rsid w:val="66342B59"/>
    <w:rsid w:val="66381697"/>
    <w:rsid w:val="663A30FC"/>
    <w:rsid w:val="66413C7B"/>
    <w:rsid w:val="6672542F"/>
    <w:rsid w:val="66807B4C"/>
    <w:rsid w:val="66A32837"/>
    <w:rsid w:val="66CA300B"/>
    <w:rsid w:val="66CF2882"/>
    <w:rsid w:val="66E14363"/>
    <w:rsid w:val="672E59D9"/>
    <w:rsid w:val="67317FCA"/>
    <w:rsid w:val="67542D87"/>
    <w:rsid w:val="676B07FC"/>
    <w:rsid w:val="678161BB"/>
    <w:rsid w:val="678F0355"/>
    <w:rsid w:val="67B20875"/>
    <w:rsid w:val="67E67E83"/>
    <w:rsid w:val="67EE31DB"/>
    <w:rsid w:val="67FD341E"/>
    <w:rsid w:val="681F3395"/>
    <w:rsid w:val="6832131A"/>
    <w:rsid w:val="684352D5"/>
    <w:rsid w:val="684A25A1"/>
    <w:rsid w:val="685605CA"/>
    <w:rsid w:val="68581629"/>
    <w:rsid w:val="685C1EF3"/>
    <w:rsid w:val="686B70CE"/>
    <w:rsid w:val="687E4027"/>
    <w:rsid w:val="68802085"/>
    <w:rsid w:val="688247E5"/>
    <w:rsid w:val="688E0B3C"/>
    <w:rsid w:val="68B97345"/>
    <w:rsid w:val="68C34DCD"/>
    <w:rsid w:val="68E819D9"/>
    <w:rsid w:val="691B3B5C"/>
    <w:rsid w:val="696C260A"/>
    <w:rsid w:val="698C5547"/>
    <w:rsid w:val="699D0A15"/>
    <w:rsid w:val="69C97F64"/>
    <w:rsid w:val="69E03097"/>
    <w:rsid w:val="69E12911"/>
    <w:rsid w:val="69ED1A59"/>
    <w:rsid w:val="69F3745B"/>
    <w:rsid w:val="6A222CC8"/>
    <w:rsid w:val="6A294057"/>
    <w:rsid w:val="6A5E63F6"/>
    <w:rsid w:val="6A6D488B"/>
    <w:rsid w:val="6A8B53FD"/>
    <w:rsid w:val="6AB03888"/>
    <w:rsid w:val="6AB52182"/>
    <w:rsid w:val="6AF26B3F"/>
    <w:rsid w:val="6AFD409F"/>
    <w:rsid w:val="6B1B3592"/>
    <w:rsid w:val="6B276D5E"/>
    <w:rsid w:val="6B462CFE"/>
    <w:rsid w:val="6B5F1CFB"/>
    <w:rsid w:val="6B715CB5"/>
    <w:rsid w:val="6B855C05"/>
    <w:rsid w:val="6B8F4B8D"/>
    <w:rsid w:val="6B904FCA"/>
    <w:rsid w:val="6BB94E5B"/>
    <w:rsid w:val="6BC73521"/>
    <w:rsid w:val="6BC83DCF"/>
    <w:rsid w:val="6C15502B"/>
    <w:rsid w:val="6C3D028D"/>
    <w:rsid w:val="6C423AF6"/>
    <w:rsid w:val="6C5715D6"/>
    <w:rsid w:val="6D753D1D"/>
    <w:rsid w:val="6D8019B7"/>
    <w:rsid w:val="6D8E6FF3"/>
    <w:rsid w:val="6DC57D50"/>
    <w:rsid w:val="6DD864C0"/>
    <w:rsid w:val="6DFD7CD4"/>
    <w:rsid w:val="6E027482"/>
    <w:rsid w:val="6E072901"/>
    <w:rsid w:val="6E0C7F17"/>
    <w:rsid w:val="6E240DDF"/>
    <w:rsid w:val="6E2B2687"/>
    <w:rsid w:val="6E302E82"/>
    <w:rsid w:val="6E4476B1"/>
    <w:rsid w:val="6E5849CB"/>
    <w:rsid w:val="6E647D53"/>
    <w:rsid w:val="6E8B57AE"/>
    <w:rsid w:val="6EBB71DF"/>
    <w:rsid w:val="6EDA3609"/>
    <w:rsid w:val="6EF60109"/>
    <w:rsid w:val="6F287D25"/>
    <w:rsid w:val="6F433E0D"/>
    <w:rsid w:val="6F562252"/>
    <w:rsid w:val="6F701F99"/>
    <w:rsid w:val="6F763920"/>
    <w:rsid w:val="6FA43BD4"/>
    <w:rsid w:val="6FB45735"/>
    <w:rsid w:val="6FD16D06"/>
    <w:rsid w:val="7027357D"/>
    <w:rsid w:val="70497201"/>
    <w:rsid w:val="706122E5"/>
    <w:rsid w:val="70762E05"/>
    <w:rsid w:val="70860455"/>
    <w:rsid w:val="70BC5914"/>
    <w:rsid w:val="70BD199D"/>
    <w:rsid w:val="70E707C8"/>
    <w:rsid w:val="70F01655"/>
    <w:rsid w:val="713B095A"/>
    <w:rsid w:val="714D6394"/>
    <w:rsid w:val="71705FC9"/>
    <w:rsid w:val="71722787"/>
    <w:rsid w:val="71865A76"/>
    <w:rsid w:val="71A07692"/>
    <w:rsid w:val="71CE64B7"/>
    <w:rsid w:val="720D425E"/>
    <w:rsid w:val="720F4BD2"/>
    <w:rsid w:val="72107CFB"/>
    <w:rsid w:val="721455EC"/>
    <w:rsid w:val="723013B2"/>
    <w:rsid w:val="723F6B0D"/>
    <w:rsid w:val="72404633"/>
    <w:rsid w:val="725C54DE"/>
    <w:rsid w:val="7264798F"/>
    <w:rsid w:val="72827AE5"/>
    <w:rsid w:val="72866DFD"/>
    <w:rsid w:val="72A529A2"/>
    <w:rsid w:val="72AE5A41"/>
    <w:rsid w:val="72FB3C84"/>
    <w:rsid w:val="73027B3B"/>
    <w:rsid w:val="7308105E"/>
    <w:rsid w:val="730E3B99"/>
    <w:rsid w:val="731A4E85"/>
    <w:rsid w:val="73262CC8"/>
    <w:rsid w:val="73A82490"/>
    <w:rsid w:val="73BE1EBD"/>
    <w:rsid w:val="73E55492"/>
    <w:rsid w:val="73EC4A73"/>
    <w:rsid w:val="740718AD"/>
    <w:rsid w:val="742748B9"/>
    <w:rsid w:val="742F2BB2"/>
    <w:rsid w:val="746E429A"/>
    <w:rsid w:val="748A2E9D"/>
    <w:rsid w:val="749018A2"/>
    <w:rsid w:val="74901A87"/>
    <w:rsid w:val="749A44CF"/>
    <w:rsid w:val="74AF0F5C"/>
    <w:rsid w:val="74B651E2"/>
    <w:rsid w:val="74C015AF"/>
    <w:rsid w:val="74C71C15"/>
    <w:rsid w:val="74CD0DAA"/>
    <w:rsid w:val="74E86E97"/>
    <w:rsid w:val="750B15FB"/>
    <w:rsid w:val="7544443B"/>
    <w:rsid w:val="754F4F6A"/>
    <w:rsid w:val="757A6D27"/>
    <w:rsid w:val="758B796E"/>
    <w:rsid w:val="75C15A8B"/>
    <w:rsid w:val="75FF1961"/>
    <w:rsid w:val="760204EF"/>
    <w:rsid w:val="76065548"/>
    <w:rsid w:val="76407334"/>
    <w:rsid w:val="76514543"/>
    <w:rsid w:val="766F7E5C"/>
    <w:rsid w:val="769E6B0E"/>
    <w:rsid w:val="76D637B8"/>
    <w:rsid w:val="76E2215D"/>
    <w:rsid w:val="77297371"/>
    <w:rsid w:val="772B3B04"/>
    <w:rsid w:val="772D6D44"/>
    <w:rsid w:val="774438CB"/>
    <w:rsid w:val="77471FC0"/>
    <w:rsid w:val="776E579F"/>
    <w:rsid w:val="77BD7DF0"/>
    <w:rsid w:val="77CB4788"/>
    <w:rsid w:val="77F2017E"/>
    <w:rsid w:val="78204167"/>
    <w:rsid w:val="78260221"/>
    <w:rsid w:val="782D1AFA"/>
    <w:rsid w:val="78332F3C"/>
    <w:rsid w:val="784657C5"/>
    <w:rsid w:val="78784255"/>
    <w:rsid w:val="78857244"/>
    <w:rsid w:val="78861581"/>
    <w:rsid w:val="78944D71"/>
    <w:rsid w:val="789B0816"/>
    <w:rsid w:val="78BE3511"/>
    <w:rsid w:val="78F20BC9"/>
    <w:rsid w:val="78FB178A"/>
    <w:rsid w:val="79077C59"/>
    <w:rsid w:val="790D7D62"/>
    <w:rsid w:val="794514C8"/>
    <w:rsid w:val="7955159E"/>
    <w:rsid w:val="795F20FD"/>
    <w:rsid w:val="79776886"/>
    <w:rsid w:val="799C4845"/>
    <w:rsid w:val="799F7E92"/>
    <w:rsid w:val="79B24069"/>
    <w:rsid w:val="79F85010"/>
    <w:rsid w:val="7A155FEB"/>
    <w:rsid w:val="7A240082"/>
    <w:rsid w:val="7A2F27AB"/>
    <w:rsid w:val="7A340A9A"/>
    <w:rsid w:val="7A4969FB"/>
    <w:rsid w:val="7A6B7769"/>
    <w:rsid w:val="7A756E44"/>
    <w:rsid w:val="7A7A0C34"/>
    <w:rsid w:val="7A7C40FE"/>
    <w:rsid w:val="7AA8729C"/>
    <w:rsid w:val="7AD82B40"/>
    <w:rsid w:val="7AD87AFF"/>
    <w:rsid w:val="7ADB5F34"/>
    <w:rsid w:val="7B32381C"/>
    <w:rsid w:val="7B51340D"/>
    <w:rsid w:val="7B614E54"/>
    <w:rsid w:val="7B7F7F7B"/>
    <w:rsid w:val="7B9D06C3"/>
    <w:rsid w:val="7BF24BF0"/>
    <w:rsid w:val="7C077F70"/>
    <w:rsid w:val="7C66113B"/>
    <w:rsid w:val="7CB24AEE"/>
    <w:rsid w:val="7CB55E74"/>
    <w:rsid w:val="7CDD7354"/>
    <w:rsid w:val="7CF04147"/>
    <w:rsid w:val="7D356E38"/>
    <w:rsid w:val="7D59674D"/>
    <w:rsid w:val="7D6531A0"/>
    <w:rsid w:val="7D6D3635"/>
    <w:rsid w:val="7D846171"/>
    <w:rsid w:val="7D847ACA"/>
    <w:rsid w:val="7DA45C05"/>
    <w:rsid w:val="7DAC79A1"/>
    <w:rsid w:val="7DB13AB7"/>
    <w:rsid w:val="7DB855BA"/>
    <w:rsid w:val="7DCC321F"/>
    <w:rsid w:val="7DCD68A6"/>
    <w:rsid w:val="7DD16D32"/>
    <w:rsid w:val="7DD87E16"/>
    <w:rsid w:val="7E2D37E1"/>
    <w:rsid w:val="7E3E7421"/>
    <w:rsid w:val="7E4578C9"/>
    <w:rsid w:val="7E4C4C02"/>
    <w:rsid w:val="7E6E0438"/>
    <w:rsid w:val="7E7D7F71"/>
    <w:rsid w:val="7E827A63"/>
    <w:rsid w:val="7E903D91"/>
    <w:rsid w:val="7E911CEE"/>
    <w:rsid w:val="7EB443DF"/>
    <w:rsid w:val="7EC11C74"/>
    <w:rsid w:val="7EF34C59"/>
    <w:rsid w:val="7F0F7867"/>
    <w:rsid w:val="7F253931"/>
    <w:rsid w:val="7F3472CE"/>
    <w:rsid w:val="7F3E46B0"/>
    <w:rsid w:val="7F631A74"/>
    <w:rsid w:val="7F8D7F65"/>
    <w:rsid w:val="7F9C4DB7"/>
    <w:rsid w:val="7FAD1925"/>
    <w:rsid w:val="7FB9679D"/>
    <w:rsid w:val="7FBD61B1"/>
    <w:rsid w:val="7FC7165F"/>
    <w:rsid w:val="7FDD1714"/>
    <w:rsid w:val="7FF81994"/>
    <w:rsid w:val="7FFB38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3126D48E"/>
  <w15:docId w15:val="{8FDF0DE7-5660-4CD0-A659-2A1C32D91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heme="minorHAnsi" w:eastAsiaTheme="minorEastAsia" w:hAnsiTheme="minorHAnsi"/>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pPr>
    <w:rPr>
      <w:sz w:val="18"/>
    </w:rPr>
  </w:style>
  <w:style w:type="table" w:styleId="a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qFormat/>
    <w:rPr>
      <w:color w:val="0000FF"/>
      <w:u w:val="single"/>
    </w:rPr>
  </w:style>
  <w:style w:type="paragraph" w:customStyle="1" w:styleId="Addresses">
    <w:name w:val="Addresses"/>
    <w:basedOn w:val="a"/>
    <w:autoRedefine/>
    <w:qFormat/>
    <w:rPr>
      <w:rFonts w:ascii="Calibri" w:eastAsia="SimSun" w:hAnsi="Calibri"/>
    </w:rPr>
  </w:style>
  <w:style w:type="paragraph" w:customStyle="1" w:styleId="EndNoteBibliography">
    <w:name w:val="EndNote Bibliography"/>
    <w:autoRedefine/>
    <w:qFormat/>
    <w:pPr>
      <w:jc w:val="both"/>
    </w:pPr>
    <w:rPr>
      <w:rFonts w:eastAsiaTheme="minorEastAsia"/>
      <w:kern w:val="2"/>
      <w:szCs w:val="21"/>
      <w:lang w:eastAsia="zh-CN"/>
    </w:rPr>
  </w:style>
  <w:style w:type="paragraph" w:styleId="a6">
    <w:name w:val="Revision"/>
    <w:hidden/>
    <w:uiPriority w:val="99"/>
    <w:unhideWhenUsed/>
    <w:rsid w:val="0040143A"/>
    <w:rPr>
      <w:rFonts w:asciiTheme="minorHAnsi" w:eastAsiaTheme="minorEastAsia" w:hAnsiTheme="minorHAnsi"/>
      <w:sz w:val="24"/>
      <w:szCs w:val="24"/>
      <w:lang w:eastAsia="zh-CN"/>
    </w:rPr>
  </w:style>
  <w:style w:type="character" w:styleId="a7">
    <w:name w:val="annotation reference"/>
    <w:basedOn w:val="a0"/>
    <w:rsid w:val="00263AE5"/>
    <w:rPr>
      <w:sz w:val="18"/>
      <w:szCs w:val="18"/>
    </w:rPr>
  </w:style>
  <w:style w:type="paragraph" w:styleId="a8">
    <w:name w:val="annotation text"/>
    <w:basedOn w:val="a"/>
    <w:link w:val="a9"/>
    <w:rsid w:val="00263AE5"/>
  </w:style>
  <w:style w:type="character" w:customStyle="1" w:styleId="a9">
    <w:name w:val="コメント文字列 (文字)"/>
    <w:basedOn w:val="a0"/>
    <w:link w:val="a8"/>
    <w:rsid w:val="00263AE5"/>
    <w:rPr>
      <w:rFonts w:asciiTheme="minorHAnsi" w:eastAsiaTheme="minorEastAsia" w:hAnsiTheme="minorHAnsi"/>
      <w:sz w:val="24"/>
      <w:szCs w:val="24"/>
      <w:lang w:eastAsia="zh-CN"/>
    </w:rPr>
  </w:style>
  <w:style w:type="paragraph" w:styleId="aa">
    <w:name w:val="annotation subject"/>
    <w:basedOn w:val="a8"/>
    <w:next w:val="a8"/>
    <w:link w:val="ab"/>
    <w:rsid w:val="00263AE5"/>
    <w:rPr>
      <w:b/>
      <w:bCs/>
    </w:rPr>
  </w:style>
  <w:style w:type="character" w:customStyle="1" w:styleId="ab">
    <w:name w:val="コメント内容 (文字)"/>
    <w:basedOn w:val="a9"/>
    <w:link w:val="aa"/>
    <w:rsid w:val="00263AE5"/>
    <w:rPr>
      <w:rFonts w:asciiTheme="minorHAnsi" w:eastAsiaTheme="minorEastAsia" w:hAnsiTheme="minorHAnsi"/>
      <w:b/>
      <w:b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oleObject" Target="embeddings/oleObject2.bin"/><Relationship Id="rId18"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image" Target="media/image6.wmf"/><Relationship Id="rId17" Type="http://schemas.openxmlformats.org/officeDocument/2006/relationships/oleObject" Target="embeddings/oleObject4.bin"/><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5.tiff"/><Relationship Id="rId5" Type="http://schemas.openxmlformats.org/officeDocument/2006/relationships/hyperlink" Target="mailto:sulx@shanghaitech.edu.cn" TargetMode="Externa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7.w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26</Pages>
  <Words>6537</Words>
  <Characters>37261</Characters>
  <Application>Microsoft Office Word</Application>
  <DocSecurity>0</DocSecurity>
  <Lines>310</Lines>
  <Paragraphs>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57664</dc:creator>
  <cp:keywords/>
  <dc:description/>
  <cp:lastModifiedBy>Liao Meiyong</cp:lastModifiedBy>
  <cp:revision>4</cp:revision>
  <dcterms:created xsi:type="dcterms:W3CDTF">2025-06-03T02:18:00Z</dcterms:created>
  <dcterms:modified xsi:type="dcterms:W3CDTF">2025-06-03T07:48:00Z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A199ACBF2D654C54B7AF67588FEE1C6F_12</vt:lpwstr>
  </property>
  <property fmtid="{D5CDD505-2E9C-101B-9397-08002B2CF9AE}" pid="4" name="KSOTemplateDocerSaveRecord">
    <vt:lpwstr>eyJoZGlkIjoiNjY1OTM0ZjQ0MGI0MDM5ZTU1ZTg3MDE1NzA2MGRlOTMiLCJ1c2VySWQiOiI1MzY4Mjk4MjgifQ==</vt:lpwstr>
  </property>
</Properties>
</file>