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B5E1B" w14:textId="37B6E08C" w:rsidR="00FD178A" w:rsidRPr="00515E43" w:rsidRDefault="00B92908" w:rsidP="00FD178A">
      <w:pPr>
        <w:pStyle w:val="Heading1"/>
        <w:spacing w:before="0" w:after="200"/>
        <w:rPr>
          <w:sz w:val="28"/>
          <w:szCs w:val="28"/>
        </w:rPr>
      </w:pPr>
      <w:r>
        <w:rPr>
          <w:sz w:val="28"/>
          <w:szCs w:val="28"/>
        </w:rPr>
        <w:t>High Performance P</w:t>
      </w:r>
      <w:r w:rsidR="0091109E">
        <w:rPr>
          <w:sz w:val="28"/>
          <w:szCs w:val="28"/>
        </w:rPr>
        <w:t xml:space="preserve">ermanent </w:t>
      </w:r>
      <w:r>
        <w:rPr>
          <w:sz w:val="28"/>
          <w:szCs w:val="28"/>
        </w:rPr>
        <w:t>M</w:t>
      </w:r>
      <w:r w:rsidR="0091109E">
        <w:rPr>
          <w:sz w:val="28"/>
          <w:szCs w:val="28"/>
        </w:rPr>
        <w:t xml:space="preserve">agnets; </w:t>
      </w:r>
      <w:r w:rsidR="0091109E">
        <w:rPr>
          <w:sz w:val="28"/>
          <w:szCs w:val="28"/>
        </w:rPr>
        <w:br/>
      </w:r>
      <w:r>
        <w:rPr>
          <w:sz w:val="28"/>
          <w:szCs w:val="28"/>
        </w:rPr>
        <w:t>H</w:t>
      </w:r>
      <w:r w:rsidR="00F44444">
        <w:rPr>
          <w:sz w:val="28"/>
          <w:szCs w:val="28"/>
        </w:rPr>
        <w:t>ow to solve</w:t>
      </w:r>
      <w:r w:rsidR="0091109E">
        <w:rPr>
          <w:sz w:val="28"/>
          <w:szCs w:val="28"/>
        </w:rPr>
        <w:t xml:space="preserve"> </w:t>
      </w:r>
      <w:r>
        <w:rPr>
          <w:sz w:val="28"/>
          <w:szCs w:val="28"/>
        </w:rPr>
        <w:t>element</w:t>
      </w:r>
      <w:r w:rsidR="0091109E">
        <w:rPr>
          <w:sz w:val="28"/>
          <w:szCs w:val="28"/>
        </w:rPr>
        <w:t xml:space="preserve"> criticality while considering new </w:t>
      </w:r>
      <w:r w:rsidR="00F44444">
        <w:rPr>
          <w:sz w:val="28"/>
          <w:szCs w:val="28"/>
        </w:rPr>
        <w:t>demands?</w:t>
      </w:r>
    </w:p>
    <w:p w14:paraId="2D5649C3" w14:textId="621569BB" w:rsidR="000E5DA5" w:rsidRDefault="0091109E" w:rsidP="000E5DA5">
      <w:pPr>
        <w:jc w:val="center"/>
        <w:rPr>
          <w:vertAlign w:val="superscript"/>
        </w:rPr>
      </w:pPr>
      <w:r>
        <w:rPr>
          <w:u w:val="single"/>
        </w:rPr>
        <w:t>H. Sepehri-Amin</w:t>
      </w:r>
      <w:r w:rsidR="0067024E" w:rsidRPr="0067024E">
        <w:rPr>
          <w:sz w:val="20"/>
          <w:szCs w:val="20"/>
        </w:rPr>
        <w:t>*</w:t>
      </w:r>
      <w:r w:rsidR="0067024E">
        <w:t xml:space="preserve"> </w:t>
      </w:r>
    </w:p>
    <w:p w14:paraId="6E4AEB9F" w14:textId="4AABB3B8" w:rsidR="0000257E" w:rsidRDefault="000E5DA5" w:rsidP="00843C99">
      <w:pPr>
        <w:spacing w:after="0"/>
        <w:jc w:val="center"/>
        <w:rPr>
          <w:i/>
        </w:rPr>
      </w:pPr>
      <w:r>
        <w:rPr>
          <w:i/>
          <w:vertAlign w:val="superscript"/>
        </w:rPr>
        <w:t>1</w:t>
      </w:r>
      <w:r w:rsidR="0091109E">
        <w:rPr>
          <w:i/>
        </w:rPr>
        <w:t xml:space="preserve">National Institute for Materials Science, 1-2-1 </w:t>
      </w:r>
      <w:proofErr w:type="spellStart"/>
      <w:r w:rsidR="0091109E">
        <w:rPr>
          <w:i/>
        </w:rPr>
        <w:t>Sengen</w:t>
      </w:r>
      <w:proofErr w:type="spellEnd"/>
      <w:r w:rsidR="0091109E">
        <w:rPr>
          <w:i/>
        </w:rPr>
        <w:t xml:space="preserve">, </w:t>
      </w:r>
    </w:p>
    <w:p w14:paraId="19159414" w14:textId="5D7BBFDB" w:rsidR="000E5DA5" w:rsidRPr="002343EB" w:rsidRDefault="000E5DA5" w:rsidP="000E5DA5">
      <w:pPr>
        <w:spacing w:after="0"/>
        <w:jc w:val="center"/>
        <w:rPr>
          <w:i/>
        </w:rPr>
      </w:pPr>
      <w:r>
        <w:rPr>
          <w:i/>
        </w:rPr>
        <w:t>*</w:t>
      </w:r>
      <w:r w:rsidR="0091109E">
        <w:rPr>
          <w:i/>
          <w:u w:val="single"/>
        </w:rPr>
        <w:t>h.sepehriamin</w:t>
      </w:r>
      <w:r w:rsidRPr="00CA1B69">
        <w:rPr>
          <w:i/>
          <w:u w:val="single"/>
        </w:rPr>
        <w:t>@</w:t>
      </w:r>
      <w:r w:rsidR="0091109E">
        <w:rPr>
          <w:i/>
          <w:u w:val="single"/>
        </w:rPr>
        <w:t>nims</w:t>
      </w:r>
      <w:r w:rsidRPr="00CA1B69">
        <w:rPr>
          <w:i/>
          <w:u w:val="single"/>
        </w:rPr>
        <w:t>.</w:t>
      </w:r>
      <w:r w:rsidR="0091109E">
        <w:rPr>
          <w:i/>
          <w:u w:val="single"/>
        </w:rPr>
        <w:t>go.jp</w:t>
      </w:r>
    </w:p>
    <w:p w14:paraId="312EAD4F" w14:textId="77777777" w:rsidR="00654E0A" w:rsidRDefault="00654E0A" w:rsidP="00F44444">
      <w:pPr>
        <w:rPr>
          <w:rFonts w:cs="Times New Roman"/>
          <w:lang w:val="en-GB"/>
        </w:rPr>
      </w:pPr>
    </w:p>
    <w:p w14:paraId="5B9EC9F4" w14:textId="2468CCF3" w:rsidR="00654E0A" w:rsidRPr="00654E0A" w:rsidRDefault="00B92908" w:rsidP="00B92908">
      <w:pPr>
        <w:spacing w:after="120" w:line="240" w:lineRule="auto"/>
        <w:rPr>
          <w:rFonts w:cs="Times New Roman"/>
          <w:b/>
          <w:sz w:val="24"/>
          <w:szCs w:val="24"/>
        </w:rPr>
      </w:pPr>
      <w:r w:rsidRPr="00B92908">
        <w:rPr>
          <w:rFonts w:cs="Times New Roman"/>
          <w:lang w:val="en-GB"/>
        </w:rPr>
        <w:t>Permanent magnets are widely used in green energy conversion and play an important role in achieving net-zero CO</w:t>
      </w:r>
      <w:r w:rsidRPr="00B92908">
        <w:rPr>
          <w:rFonts w:cs="Times New Roman"/>
          <w:vertAlign w:val="subscript"/>
          <w:lang w:val="en-GB"/>
        </w:rPr>
        <w:t>2</w:t>
      </w:r>
      <w:r w:rsidRPr="00B92908">
        <w:rPr>
          <w:rFonts w:cs="Times New Roman"/>
          <w:lang w:val="en-GB"/>
        </w:rPr>
        <w:t xml:space="preserve"> emissions. </w:t>
      </w:r>
      <w:proofErr w:type="gramStart"/>
      <w:r w:rsidRPr="00B92908">
        <w:rPr>
          <w:rFonts w:cs="Times New Roman"/>
          <w:lang w:val="en-GB"/>
        </w:rPr>
        <w:t>In order to</w:t>
      </w:r>
      <w:proofErr w:type="gramEnd"/>
      <w:r w:rsidRPr="00B92908">
        <w:rPr>
          <w:rFonts w:cs="Times New Roman"/>
          <w:lang w:val="en-GB"/>
        </w:rPr>
        <w:t xml:space="preserve"> maintain sustainable production of permanent magnets in the long term, it is necessary to eliminate the dependence of permanent magnets on critical elements such as Dy and to diversify the use of rare earths while maintaining their performance close to their theoretical limits. In this talk</w:t>
      </w:r>
      <w:r>
        <w:rPr>
          <w:rFonts w:cs="Times New Roman"/>
          <w:lang w:val="en-GB"/>
        </w:rPr>
        <w:t>,</w:t>
      </w:r>
      <w:r w:rsidRPr="00B92908">
        <w:rPr>
          <w:rFonts w:cs="Times New Roman"/>
          <w:lang w:val="en-GB"/>
        </w:rPr>
        <w:t xml:space="preserve"> we will first present our fundamental research on why the coercivity of permanent magnets with different microstructural features are far below their theoretical limits (magnetic anisotropy field)</w:t>
      </w:r>
      <w:r w:rsidR="00A911BF">
        <w:rPr>
          <w:rFonts w:cs="Times New Roman"/>
          <w:lang w:val="en-GB"/>
        </w:rPr>
        <w:t xml:space="preserve"> [1,2]</w:t>
      </w:r>
      <w:r w:rsidRPr="00B92908">
        <w:rPr>
          <w:rFonts w:cs="Times New Roman"/>
          <w:lang w:val="en-GB"/>
        </w:rPr>
        <w:t xml:space="preserve">. We will present several examples in different permanent magnet systems of how defect engineering can lead to an enhancement of the extrinsic magnetic properties, </w:t>
      </w:r>
      <w:proofErr w:type="gramStart"/>
      <w:r w:rsidRPr="00B92908">
        <w:rPr>
          <w:rFonts w:cs="Times New Roman"/>
          <w:lang w:val="en-GB"/>
        </w:rPr>
        <w:t>in particular</w:t>
      </w:r>
      <w:proofErr w:type="gramEnd"/>
      <w:r w:rsidRPr="00B92908">
        <w:rPr>
          <w:rFonts w:cs="Times New Roman"/>
          <w:lang w:val="en-GB"/>
        </w:rPr>
        <w:t xml:space="preserve"> the coercivity. This will be demonstrated for Dy-free Nd-Fe-B based permanent magnets and Nd-lean (</w:t>
      </w:r>
      <w:proofErr w:type="spellStart"/>
      <w:proofErr w:type="gramStart"/>
      <w:r w:rsidRPr="00B92908">
        <w:rPr>
          <w:rFonts w:cs="Times New Roman"/>
          <w:lang w:val="en-GB"/>
        </w:rPr>
        <w:t>Nd,Ce</w:t>
      </w:r>
      <w:proofErr w:type="spellEnd"/>
      <w:proofErr w:type="gramEnd"/>
      <w:r w:rsidRPr="00B92908">
        <w:rPr>
          <w:rFonts w:cs="Times New Roman"/>
          <w:lang w:val="en-GB"/>
        </w:rPr>
        <w:t>)-Fe-B magnets.  Furthermore, we will discuss the potential of SmFe</w:t>
      </w:r>
      <w:r w:rsidRPr="00A911BF">
        <w:rPr>
          <w:rFonts w:cs="Times New Roman"/>
          <w:vertAlign w:val="subscript"/>
          <w:lang w:val="en-GB"/>
        </w:rPr>
        <w:t>12</w:t>
      </w:r>
      <w:r w:rsidRPr="00B92908">
        <w:rPr>
          <w:rFonts w:cs="Times New Roman"/>
          <w:lang w:val="en-GB"/>
        </w:rPr>
        <w:t xml:space="preserve"> based compounds and the current challenges to realize these materials as new permanent magnets. We will show our recent successes in microstructure engineering of these materials, both in magnetic thin films and in bulk magnetic materials, to realize sufficiently large coercivities above 1.4 T supported by machine learning [</w:t>
      </w:r>
      <w:r w:rsidR="00A911BF">
        <w:rPr>
          <w:rFonts w:cs="Times New Roman"/>
          <w:lang w:val="en-GB"/>
        </w:rPr>
        <w:t>3,4</w:t>
      </w:r>
      <w:r w:rsidRPr="00B92908">
        <w:rPr>
          <w:rFonts w:cs="Times New Roman"/>
          <w:lang w:val="en-GB"/>
        </w:rPr>
        <w:t>]. Based on detailed microstructural characterizations, magnetic thin films and micromagnetic simulations, the optimal microstructure that can lead to higher coercivity and remanent magnetization in the SmFe</w:t>
      </w:r>
      <w:r w:rsidRPr="00A911BF">
        <w:rPr>
          <w:rFonts w:cs="Times New Roman"/>
          <w:vertAlign w:val="subscript"/>
          <w:lang w:val="en-GB"/>
        </w:rPr>
        <w:t>12</w:t>
      </w:r>
      <w:r w:rsidRPr="00B92908">
        <w:rPr>
          <w:rFonts w:cs="Times New Roman"/>
          <w:lang w:val="en-GB"/>
        </w:rPr>
        <w:t>-based magnets will be discussed. Finally, we will discuss future strategies in the development of permanent magnets that need to be considered in view of the emergence of new applications [</w:t>
      </w:r>
      <w:r w:rsidR="00A911BF">
        <w:rPr>
          <w:rFonts w:cs="Times New Roman"/>
          <w:lang w:val="en-GB"/>
        </w:rPr>
        <w:t>5</w:t>
      </w:r>
      <w:r w:rsidRPr="00B92908">
        <w:rPr>
          <w:rFonts w:cs="Times New Roman"/>
          <w:lang w:val="en-GB"/>
        </w:rPr>
        <w:t>].</w:t>
      </w:r>
    </w:p>
    <w:p w14:paraId="4ED8052D" w14:textId="77777777" w:rsidR="00F44444" w:rsidRDefault="00F44444" w:rsidP="00EE2999">
      <w:pPr>
        <w:rPr>
          <w:lang w:val="en-GB"/>
        </w:rPr>
      </w:pPr>
    </w:p>
    <w:p w14:paraId="7417ABD8" w14:textId="536221F0" w:rsidR="00BA2004" w:rsidRPr="00A911BF" w:rsidRDefault="00BA2004" w:rsidP="00A911BF">
      <w:pPr>
        <w:spacing w:line="240" w:lineRule="auto"/>
        <w:rPr>
          <w:sz w:val="20"/>
          <w:szCs w:val="20"/>
          <w:lang w:val="en-GB"/>
        </w:rPr>
      </w:pPr>
      <w:r w:rsidRPr="00A911BF">
        <w:rPr>
          <w:sz w:val="20"/>
          <w:szCs w:val="20"/>
          <w:lang w:val="en-GB"/>
        </w:rPr>
        <w:t xml:space="preserve">[1] J. Li, H. Sepehri-Amin, T. Ohkubo, K. </w:t>
      </w:r>
      <w:proofErr w:type="spellStart"/>
      <w:r w:rsidRPr="00A911BF">
        <w:rPr>
          <w:sz w:val="20"/>
          <w:szCs w:val="20"/>
          <w:lang w:val="en-GB"/>
        </w:rPr>
        <w:t>Hono</w:t>
      </w:r>
      <w:proofErr w:type="spellEnd"/>
      <w:r w:rsidRPr="00A911BF">
        <w:rPr>
          <w:sz w:val="20"/>
          <w:szCs w:val="20"/>
          <w:lang w:val="en-GB"/>
        </w:rPr>
        <w:t>, Phys. Rev. B 105 (2022) 174432.</w:t>
      </w:r>
    </w:p>
    <w:p w14:paraId="18671EB9" w14:textId="76BCC9C1" w:rsidR="00BA2004" w:rsidRPr="00A911BF" w:rsidRDefault="00BA2004" w:rsidP="00A911BF">
      <w:pPr>
        <w:spacing w:line="240" w:lineRule="auto"/>
        <w:rPr>
          <w:sz w:val="20"/>
          <w:szCs w:val="20"/>
          <w:lang w:val="en-GB"/>
        </w:rPr>
      </w:pPr>
      <w:r w:rsidRPr="00A911BF">
        <w:rPr>
          <w:sz w:val="20"/>
          <w:szCs w:val="20"/>
          <w:lang w:val="en-GB"/>
        </w:rPr>
        <w:t>[</w:t>
      </w:r>
      <w:r w:rsidRPr="00A911BF">
        <w:rPr>
          <w:sz w:val="20"/>
          <w:szCs w:val="20"/>
          <w:lang w:val="en-GB"/>
        </w:rPr>
        <w:t>2</w:t>
      </w:r>
      <w:r w:rsidRPr="00A911BF">
        <w:rPr>
          <w:sz w:val="20"/>
          <w:szCs w:val="20"/>
          <w:lang w:val="en-GB"/>
        </w:rPr>
        <w:t>] X. Tang, J. Li, H. Sepehr-Amin et al. NPG Asia Mater. 15 (2023) 50.</w:t>
      </w:r>
    </w:p>
    <w:p w14:paraId="5C921197" w14:textId="4394DB96" w:rsidR="00BA2004" w:rsidRPr="00A911BF" w:rsidRDefault="00BA2004" w:rsidP="00A911BF">
      <w:pPr>
        <w:spacing w:line="240" w:lineRule="auto"/>
        <w:rPr>
          <w:sz w:val="20"/>
          <w:szCs w:val="20"/>
          <w:lang w:val="en-GB"/>
        </w:rPr>
      </w:pPr>
      <w:r w:rsidRPr="00A911BF">
        <w:rPr>
          <w:sz w:val="20"/>
          <w:szCs w:val="20"/>
          <w:lang w:val="en-GB"/>
        </w:rPr>
        <w:t>[</w:t>
      </w:r>
      <w:r w:rsidRPr="00A911BF">
        <w:rPr>
          <w:sz w:val="20"/>
          <w:szCs w:val="20"/>
          <w:lang w:val="en-GB"/>
        </w:rPr>
        <w:t>3</w:t>
      </w:r>
      <w:r w:rsidRPr="00A911BF">
        <w:rPr>
          <w:sz w:val="20"/>
          <w:szCs w:val="20"/>
          <w:lang w:val="en-GB"/>
        </w:rPr>
        <w:t>] H. Sepehri-Amin et al. Scripta Mater. 242 (2024) 119869.</w:t>
      </w:r>
    </w:p>
    <w:p w14:paraId="52018BB2" w14:textId="40B8E7AD" w:rsidR="00BA2004" w:rsidRPr="00A911BF" w:rsidRDefault="00BA2004" w:rsidP="00A911BF">
      <w:pPr>
        <w:spacing w:line="240" w:lineRule="auto"/>
        <w:rPr>
          <w:sz w:val="20"/>
          <w:szCs w:val="20"/>
          <w:lang w:val="en-GB"/>
        </w:rPr>
      </w:pPr>
      <w:r w:rsidRPr="00A911BF">
        <w:rPr>
          <w:sz w:val="20"/>
          <w:szCs w:val="20"/>
          <w:lang w:val="en-GB"/>
        </w:rPr>
        <w:t xml:space="preserve">[4] A. K. Srinithi, X. Tang, H. Sepehri-Amin, J. Zhang, T. Ohkubo, K. </w:t>
      </w:r>
      <w:proofErr w:type="spellStart"/>
      <w:r w:rsidRPr="00A911BF">
        <w:rPr>
          <w:sz w:val="20"/>
          <w:szCs w:val="20"/>
          <w:lang w:val="en-GB"/>
        </w:rPr>
        <w:t>Hono</w:t>
      </w:r>
      <w:proofErr w:type="spellEnd"/>
      <w:r w:rsidRPr="00A911BF">
        <w:rPr>
          <w:sz w:val="20"/>
          <w:szCs w:val="20"/>
          <w:lang w:val="en-GB"/>
        </w:rPr>
        <w:t>, Acta Mater. 256 (2023) 119111.</w:t>
      </w:r>
    </w:p>
    <w:p w14:paraId="35B368D7" w14:textId="5EA8D0ED" w:rsidR="005B1C62" w:rsidRPr="00A911BF" w:rsidRDefault="00BA2004" w:rsidP="00A911BF">
      <w:pPr>
        <w:spacing w:line="240" w:lineRule="auto"/>
        <w:rPr>
          <w:sz w:val="20"/>
          <w:szCs w:val="20"/>
          <w:lang w:val="en-GB"/>
        </w:rPr>
      </w:pPr>
      <w:r w:rsidRPr="00A911BF">
        <w:rPr>
          <w:sz w:val="20"/>
          <w:szCs w:val="20"/>
          <w:lang w:val="en-GB"/>
        </w:rPr>
        <w:t>[5] K. Uchida, T. Hirai, F. Ando, H. Sepehri-Amin, Adv</w:t>
      </w:r>
      <w:r w:rsidR="00A911BF" w:rsidRPr="00A911BF">
        <w:rPr>
          <w:sz w:val="20"/>
          <w:szCs w:val="20"/>
          <w:lang w:val="en-GB"/>
        </w:rPr>
        <w:t>.</w:t>
      </w:r>
      <w:r w:rsidRPr="00A911BF">
        <w:rPr>
          <w:sz w:val="20"/>
          <w:szCs w:val="20"/>
          <w:lang w:val="en-GB"/>
        </w:rPr>
        <w:t xml:space="preserve"> Energy Mater. 14 (2024) 247011.</w:t>
      </w:r>
    </w:p>
    <w:p w14:paraId="6BB97739" w14:textId="77777777" w:rsidR="001C6E94" w:rsidRDefault="001C6E94" w:rsidP="00EE2999"/>
    <w:sectPr w:rsidR="001C6E94" w:rsidSect="00CB1391">
      <w:pgSz w:w="12242" w:h="15842"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E23EF" w14:textId="77777777" w:rsidR="00CB1391" w:rsidRDefault="00CB1391" w:rsidP="00736AB4">
      <w:pPr>
        <w:spacing w:after="0" w:line="240" w:lineRule="auto"/>
      </w:pPr>
      <w:r>
        <w:separator/>
      </w:r>
    </w:p>
  </w:endnote>
  <w:endnote w:type="continuationSeparator" w:id="0">
    <w:p w14:paraId="76AC1877" w14:textId="77777777" w:rsidR="00CB1391" w:rsidRDefault="00CB1391" w:rsidP="00736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CB1A8" w14:textId="77777777" w:rsidR="00CB1391" w:rsidRDefault="00CB1391" w:rsidP="00736AB4">
      <w:pPr>
        <w:spacing w:after="0" w:line="240" w:lineRule="auto"/>
      </w:pPr>
      <w:r>
        <w:separator/>
      </w:r>
    </w:p>
  </w:footnote>
  <w:footnote w:type="continuationSeparator" w:id="0">
    <w:p w14:paraId="4F1E5B68" w14:textId="77777777" w:rsidR="00CB1391" w:rsidRDefault="00CB1391" w:rsidP="00736A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04583"/>
    <w:multiLevelType w:val="hybridMultilevel"/>
    <w:tmpl w:val="09961734"/>
    <w:lvl w:ilvl="0" w:tplc="DC844E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370F00"/>
    <w:multiLevelType w:val="hybridMultilevel"/>
    <w:tmpl w:val="3C4A3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712DC5"/>
    <w:multiLevelType w:val="hybridMultilevel"/>
    <w:tmpl w:val="0136BC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E26DF7"/>
    <w:multiLevelType w:val="hybridMultilevel"/>
    <w:tmpl w:val="B854F46C"/>
    <w:lvl w:ilvl="0" w:tplc="7DC6BCFC">
      <w:start w:val="1"/>
      <w:numFmt w:val="decimal"/>
      <w:lvlText w:val="[%1]"/>
      <w:lvlJc w:val="left"/>
      <w:pPr>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AD403D"/>
    <w:multiLevelType w:val="hybridMultilevel"/>
    <w:tmpl w:val="7A742F7E"/>
    <w:lvl w:ilvl="0" w:tplc="9D38D964">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A54156"/>
    <w:multiLevelType w:val="hybridMultilevel"/>
    <w:tmpl w:val="17EE6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1953612">
    <w:abstractNumId w:val="5"/>
  </w:num>
  <w:num w:numId="2" w16cid:durableId="1534263869">
    <w:abstractNumId w:val="4"/>
  </w:num>
  <w:num w:numId="3" w16cid:durableId="676544245">
    <w:abstractNumId w:val="2"/>
  </w:num>
  <w:num w:numId="4" w16cid:durableId="1112826948">
    <w:abstractNumId w:val="0"/>
  </w:num>
  <w:num w:numId="5" w16cid:durableId="1945384019">
    <w:abstractNumId w:val="3"/>
  </w:num>
  <w:num w:numId="6" w16cid:durableId="679968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57E"/>
    <w:rsid w:val="0000257E"/>
    <w:rsid w:val="00064287"/>
    <w:rsid w:val="000E5DA5"/>
    <w:rsid w:val="00147A95"/>
    <w:rsid w:val="0015453E"/>
    <w:rsid w:val="001C6E94"/>
    <w:rsid w:val="001D1F4A"/>
    <w:rsid w:val="0023200B"/>
    <w:rsid w:val="002343EB"/>
    <w:rsid w:val="003364BB"/>
    <w:rsid w:val="0041789F"/>
    <w:rsid w:val="00477F7C"/>
    <w:rsid w:val="004A13AD"/>
    <w:rsid w:val="00515E43"/>
    <w:rsid w:val="0055385F"/>
    <w:rsid w:val="005B1C62"/>
    <w:rsid w:val="005E31B8"/>
    <w:rsid w:val="00654E0A"/>
    <w:rsid w:val="00654E3A"/>
    <w:rsid w:val="0067024E"/>
    <w:rsid w:val="006855EA"/>
    <w:rsid w:val="006C0CC3"/>
    <w:rsid w:val="00726446"/>
    <w:rsid w:val="00736AB4"/>
    <w:rsid w:val="00821D8A"/>
    <w:rsid w:val="00843C99"/>
    <w:rsid w:val="0091109E"/>
    <w:rsid w:val="009431D7"/>
    <w:rsid w:val="0097791A"/>
    <w:rsid w:val="009B734E"/>
    <w:rsid w:val="009E2D55"/>
    <w:rsid w:val="009F3BA3"/>
    <w:rsid w:val="00A911BF"/>
    <w:rsid w:val="00B92908"/>
    <w:rsid w:val="00BA2004"/>
    <w:rsid w:val="00C36B2F"/>
    <w:rsid w:val="00CA1B69"/>
    <w:rsid w:val="00CB1391"/>
    <w:rsid w:val="00CF2AAD"/>
    <w:rsid w:val="00E43138"/>
    <w:rsid w:val="00E54F7F"/>
    <w:rsid w:val="00EB2A3C"/>
    <w:rsid w:val="00EE2999"/>
    <w:rsid w:val="00F44444"/>
    <w:rsid w:val="00FD178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EFC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57E"/>
    <w:pPr>
      <w:jc w:val="both"/>
    </w:pPr>
    <w:rPr>
      <w:rFonts w:ascii="Times New Roman" w:hAnsi="Times New Roman"/>
    </w:rPr>
  </w:style>
  <w:style w:type="paragraph" w:styleId="Heading1">
    <w:name w:val="heading 1"/>
    <w:basedOn w:val="Normal"/>
    <w:next w:val="Normal"/>
    <w:link w:val="Heading1Char"/>
    <w:uiPriority w:val="9"/>
    <w:qFormat/>
    <w:rsid w:val="0000257E"/>
    <w:pPr>
      <w:keepNext/>
      <w:keepLines/>
      <w:spacing w:before="240" w:after="0"/>
      <w:jc w:val="center"/>
      <w:outlineLvl w:val="0"/>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57E"/>
    <w:rPr>
      <w:rFonts w:ascii="Times New Roman" w:eastAsiaTheme="majorEastAsia" w:hAnsi="Times New Roman" w:cstheme="majorBidi"/>
      <w:b/>
      <w:sz w:val="32"/>
      <w:szCs w:val="32"/>
    </w:rPr>
  </w:style>
  <w:style w:type="paragraph" w:styleId="ListParagraph">
    <w:name w:val="List Paragraph"/>
    <w:basedOn w:val="Normal"/>
    <w:uiPriority w:val="34"/>
    <w:qFormat/>
    <w:rsid w:val="0000257E"/>
    <w:pPr>
      <w:ind w:left="720"/>
      <w:contextualSpacing/>
    </w:pPr>
  </w:style>
  <w:style w:type="table" w:styleId="TableGrid">
    <w:name w:val="Table Grid"/>
    <w:basedOn w:val="TableNormal"/>
    <w:uiPriority w:val="39"/>
    <w:rsid w:val="00477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6AB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36AB4"/>
    <w:rPr>
      <w:rFonts w:ascii="Times New Roman" w:hAnsi="Times New Roman"/>
    </w:rPr>
  </w:style>
  <w:style w:type="paragraph" w:styleId="Footer">
    <w:name w:val="footer"/>
    <w:basedOn w:val="Normal"/>
    <w:link w:val="FooterChar"/>
    <w:uiPriority w:val="99"/>
    <w:unhideWhenUsed/>
    <w:rsid w:val="00736AB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36AB4"/>
    <w:rPr>
      <w:rFonts w:ascii="Times New Roman" w:hAnsi="Times New Roman"/>
    </w:rPr>
  </w:style>
  <w:style w:type="character" w:styleId="Hyperlink">
    <w:name w:val="Hyperlink"/>
    <w:basedOn w:val="DefaultParagraphFont"/>
    <w:uiPriority w:val="99"/>
    <w:unhideWhenUsed/>
    <w:rsid w:val="006855EA"/>
    <w:rPr>
      <w:color w:val="0563C1" w:themeColor="hyperlink"/>
      <w:u w:val="single"/>
    </w:rPr>
  </w:style>
  <w:style w:type="character" w:styleId="UnresolvedMention">
    <w:name w:val="Unresolved Mention"/>
    <w:basedOn w:val="DefaultParagraphFont"/>
    <w:uiPriority w:val="99"/>
    <w:semiHidden/>
    <w:unhideWhenUsed/>
    <w:rsid w:val="006855EA"/>
    <w:rPr>
      <w:color w:val="605E5C"/>
      <w:shd w:val="clear" w:color="auto" w:fill="E1DFDD"/>
    </w:rPr>
  </w:style>
  <w:style w:type="character" w:styleId="CommentReference">
    <w:name w:val="annotation reference"/>
    <w:basedOn w:val="DefaultParagraphFont"/>
    <w:uiPriority w:val="99"/>
    <w:semiHidden/>
    <w:unhideWhenUsed/>
    <w:rsid w:val="005E31B8"/>
    <w:rPr>
      <w:sz w:val="16"/>
      <w:szCs w:val="16"/>
    </w:rPr>
  </w:style>
  <w:style w:type="paragraph" w:styleId="CommentText">
    <w:name w:val="annotation text"/>
    <w:basedOn w:val="Normal"/>
    <w:link w:val="CommentTextChar"/>
    <w:uiPriority w:val="99"/>
    <w:unhideWhenUsed/>
    <w:rsid w:val="005E31B8"/>
    <w:pPr>
      <w:spacing w:line="240" w:lineRule="auto"/>
    </w:pPr>
    <w:rPr>
      <w:sz w:val="20"/>
      <w:szCs w:val="20"/>
    </w:rPr>
  </w:style>
  <w:style w:type="character" w:customStyle="1" w:styleId="CommentTextChar">
    <w:name w:val="Comment Text Char"/>
    <w:basedOn w:val="DefaultParagraphFont"/>
    <w:link w:val="CommentText"/>
    <w:uiPriority w:val="99"/>
    <w:rsid w:val="005E31B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E31B8"/>
    <w:rPr>
      <w:b/>
      <w:bCs/>
    </w:rPr>
  </w:style>
  <w:style w:type="character" w:customStyle="1" w:styleId="CommentSubjectChar">
    <w:name w:val="Comment Subject Char"/>
    <w:basedOn w:val="CommentTextChar"/>
    <w:link w:val="CommentSubject"/>
    <w:uiPriority w:val="99"/>
    <w:semiHidden/>
    <w:rsid w:val="005E31B8"/>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83935-4D87-419B-B3F4-8F565481C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2024-03-29T00:22:00Z</dcterms:created>
  <dcterms:modified xsi:type="dcterms:W3CDTF">2024-04-15T00:34:00Z</dcterms:modified>
</cp:coreProperties>
</file>