
<file path=[Content_Types].xml><?xml version="1.0" encoding="utf-8"?>
<Types xmlns="http://schemas.openxmlformats.org/package/2006/content-types">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56A3C" w14:textId="5E6E46CB" w:rsidR="00BB4E61" w:rsidRPr="00CE1271" w:rsidRDefault="00BB4E61" w:rsidP="000F1A8F">
      <w:pPr>
        <w:spacing w:line="480" w:lineRule="auto"/>
        <w:jc w:val="both"/>
        <w:rPr>
          <w:b/>
          <w:bCs/>
          <w:sz w:val="32"/>
          <w:szCs w:val="32"/>
        </w:rPr>
      </w:pPr>
      <w:bookmarkStart w:id="0" w:name="_Hlk195696386"/>
      <w:r w:rsidRPr="00CE1271">
        <w:rPr>
          <w:b/>
          <w:bCs/>
          <w:sz w:val="32"/>
          <w:szCs w:val="32"/>
        </w:rPr>
        <w:t xml:space="preserve">Pitfalls in </w:t>
      </w:r>
      <w:r w:rsidR="005224FC" w:rsidRPr="00CE1271">
        <w:rPr>
          <w:b/>
          <w:bCs/>
          <w:sz w:val="32"/>
          <w:szCs w:val="32"/>
        </w:rPr>
        <w:t>Artificial Intelligence Powered</w:t>
      </w:r>
      <w:r w:rsidRPr="00CE1271">
        <w:rPr>
          <w:b/>
          <w:bCs/>
          <w:sz w:val="32"/>
          <w:szCs w:val="32"/>
        </w:rPr>
        <w:t xml:space="preserve"> </w:t>
      </w:r>
      <w:r w:rsidR="005224FC" w:rsidRPr="00CE1271">
        <w:rPr>
          <w:b/>
          <w:bCs/>
          <w:sz w:val="32"/>
          <w:szCs w:val="32"/>
        </w:rPr>
        <w:t>Discovery</w:t>
      </w:r>
      <w:r w:rsidRPr="00CE1271">
        <w:rPr>
          <w:b/>
          <w:bCs/>
          <w:sz w:val="32"/>
          <w:szCs w:val="32"/>
        </w:rPr>
        <w:t xml:space="preserve"> </w:t>
      </w:r>
      <w:r w:rsidR="00784BA2" w:rsidRPr="00CE1271">
        <w:rPr>
          <w:rFonts w:hint="eastAsia"/>
          <w:b/>
          <w:bCs/>
          <w:sz w:val="32"/>
          <w:szCs w:val="32"/>
        </w:rPr>
        <w:t>due to</w:t>
      </w:r>
      <w:r w:rsidRPr="00CE1271">
        <w:rPr>
          <w:b/>
          <w:bCs/>
          <w:sz w:val="32"/>
          <w:szCs w:val="32"/>
        </w:rPr>
        <w:t xml:space="preserve"> </w:t>
      </w:r>
      <w:r w:rsidR="001B7F47" w:rsidRPr="00CE1271">
        <w:rPr>
          <w:b/>
          <w:bCs/>
          <w:sz w:val="32"/>
          <w:szCs w:val="32"/>
        </w:rPr>
        <w:t>E</w:t>
      </w:r>
      <w:r w:rsidRPr="00CE1271">
        <w:rPr>
          <w:b/>
          <w:bCs/>
          <w:sz w:val="32"/>
          <w:szCs w:val="32"/>
        </w:rPr>
        <w:t>lectrocatalyst</w:t>
      </w:r>
      <w:r w:rsidR="00FA2A70" w:rsidRPr="00CE1271">
        <w:rPr>
          <w:rFonts w:hint="eastAsia"/>
          <w:b/>
          <w:bCs/>
          <w:sz w:val="32"/>
          <w:szCs w:val="32"/>
        </w:rPr>
        <w:t xml:space="preserve"> Evaluation Methodologies</w:t>
      </w:r>
    </w:p>
    <w:p w14:paraId="324253C9" w14:textId="6263E0A3" w:rsidR="00A731DE" w:rsidRPr="00CE1271" w:rsidRDefault="00A731DE" w:rsidP="000F1A8F">
      <w:pPr>
        <w:spacing w:line="480" w:lineRule="auto"/>
        <w:jc w:val="both"/>
        <w:rPr>
          <w:vertAlign w:val="superscript"/>
        </w:rPr>
      </w:pPr>
      <w:bookmarkStart w:id="1" w:name="_Hlk195696418"/>
      <w:bookmarkEnd w:id="0"/>
      <w:r w:rsidRPr="00CE1271">
        <w:t>Abraham Castro Garcia</w:t>
      </w:r>
      <w:r w:rsidR="005711FF" w:rsidRPr="00CE1271">
        <w:rPr>
          <w:vertAlign w:val="superscript"/>
        </w:rPr>
        <w:t>1</w:t>
      </w:r>
      <w:r w:rsidRPr="00CE1271">
        <w:t xml:space="preserve"> and Ken Sakaushi</w:t>
      </w:r>
      <w:r w:rsidR="005711FF" w:rsidRPr="00CE1271">
        <w:rPr>
          <w:vertAlign w:val="superscript"/>
        </w:rPr>
        <w:t>1,2,</w:t>
      </w:r>
      <w:proofErr w:type="gramStart"/>
      <w:r w:rsidR="005711FF" w:rsidRPr="00CE1271">
        <w:rPr>
          <w:vertAlign w:val="superscript"/>
        </w:rPr>
        <w:t>3,</w:t>
      </w:r>
      <w:r w:rsidRPr="00CE1271">
        <w:rPr>
          <w:vertAlign w:val="superscript"/>
        </w:rPr>
        <w:t>*</w:t>
      </w:r>
      <w:proofErr w:type="gramEnd"/>
    </w:p>
    <w:p w14:paraId="2D67F194" w14:textId="2B1EC49B" w:rsidR="00570D92" w:rsidRPr="00CE1271" w:rsidRDefault="00106F9A" w:rsidP="000F1A8F">
      <w:pPr>
        <w:spacing w:line="480" w:lineRule="auto"/>
        <w:jc w:val="both"/>
        <w:rPr>
          <w:i/>
          <w:iCs/>
          <w:sz w:val="22"/>
          <w:szCs w:val="22"/>
        </w:rPr>
      </w:pPr>
      <w:r w:rsidRPr="00CE1271">
        <w:rPr>
          <w:sz w:val="22"/>
          <w:szCs w:val="22"/>
          <w:vertAlign w:val="superscript"/>
        </w:rPr>
        <w:t>1</w:t>
      </w:r>
      <w:r w:rsidR="00570D92" w:rsidRPr="00CE1271">
        <w:rPr>
          <w:i/>
          <w:iCs/>
          <w:sz w:val="22"/>
          <w:szCs w:val="22"/>
        </w:rPr>
        <w:t>Research Center for Energy and Environmental Materials, National Institute for Materials Science, 1-1 Namiki, Tsukuba, Ibaraki 305-0044, Japan</w:t>
      </w:r>
    </w:p>
    <w:p w14:paraId="3BD9C1EB" w14:textId="4AF8F505" w:rsidR="00106F9A" w:rsidRPr="00CE1271" w:rsidRDefault="005B0F4B" w:rsidP="000F1A8F">
      <w:pPr>
        <w:spacing w:line="480" w:lineRule="auto"/>
        <w:jc w:val="both"/>
        <w:rPr>
          <w:i/>
          <w:iCs/>
          <w:sz w:val="22"/>
          <w:szCs w:val="22"/>
        </w:rPr>
      </w:pPr>
      <w:r w:rsidRPr="00CE1271">
        <w:rPr>
          <w:sz w:val="22"/>
          <w:szCs w:val="22"/>
          <w:vertAlign w:val="superscript"/>
        </w:rPr>
        <w:t>2</w:t>
      </w:r>
      <w:r w:rsidRPr="00CE1271">
        <w:rPr>
          <w:i/>
          <w:iCs/>
          <w:sz w:val="22"/>
          <w:szCs w:val="22"/>
        </w:rPr>
        <w:t xml:space="preserve">Churchill College, </w:t>
      </w:r>
      <w:proofErr w:type="spellStart"/>
      <w:r w:rsidRPr="00CE1271">
        <w:rPr>
          <w:i/>
          <w:iCs/>
          <w:sz w:val="22"/>
          <w:szCs w:val="22"/>
        </w:rPr>
        <w:t>Storey's</w:t>
      </w:r>
      <w:proofErr w:type="spellEnd"/>
      <w:r w:rsidRPr="00CE1271">
        <w:rPr>
          <w:i/>
          <w:iCs/>
          <w:sz w:val="22"/>
          <w:szCs w:val="22"/>
        </w:rPr>
        <w:t xml:space="preserve"> Way, Cambridge CB3 0DS, United Kingdom</w:t>
      </w:r>
    </w:p>
    <w:p w14:paraId="440AE833" w14:textId="47B9B31A" w:rsidR="005B0F4B" w:rsidRPr="00CE1271" w:rsidRDefault="00FC3D59" w:rsidP="000F1A8F">
      <w:pPr>
        <w:spacing w:line="480" w:lineRule="auto"/>
        <w:jc w:val="both"/>
        <w:rPr>
          <w:i/>
          <w:iCs/>
          <w:sz w:val="22"/>
          <w:szCs w:val="22"/>
        </w:rPr>
      </w:pPr>
      <w:r w:rsidRPr="00CE1271">
        <w:rPr>
          <w:sz w:val="22"/>
          <w:szCs w:val="22"/>
          <w:vertAlign w:val="superscript"/>
        </w:rPr>
        <w:t>3</w:t>
      </w:r>
      <w:r w:rsidRPr="00CE1271">
        <w:rPr>
          <w:i/>
          <w:iCs/>
          <w:sz w:val="22"/>
          <w:szCs w:val="22"/>
        </w:rPr>
        <w:t>Cavendish Laboratory, University of Cambridge, JJ Thomson Avenue, Cambridge CB3 0HE, United Kingdom</w:t>
      </w:r>
    </w:p>
    <w:p w14:paraId="04DF4FEF" w14:textId="1B454910" w:rsidR="00570D92" w:rsidRPr="00CE1271" w:rsidRDefault="00570D92" w:rsidP="000F1A8F">
      <w:pPr>
        <w:spacing w:line="480" w:lineRule="auto"/>
        <w:jc w:val="both"/>
        <w:rPr>
          <w:sz w:val="22"/>
          <w:szCs w:val="22"/>
        </w:rPr>
      </w:pPr>
      <w:r w:rsidRPr="00CE1271">
        <w:rPr>
          <w:i/>
          <w:iCs/>
          <w:sz w:val="22"/>
          <w:szCs w:val="22"/>
        </w:rPr>
        <w:t xml:space="preserve">*Email: </w:t>
      </w:r>
      <w:hyperlink r:id="rId8" w:history="1">
        <w:r w:rsidR="00045DAD" w:rsidRPr="00CE1271">
          <w:rPr>
            <w:rStyle w:val="af5"/>
            <w:sz w:val="22"/>
            <w:szCs w:val="22"/>
          </w:rPr>
          <w:t>sakaushi.ken@nims.go.jp</w:t>
        </w:r>
      </w:hyperlink>
    </w:p>
    <w:bookmarkEnd w:id="1"/>
    <w:p w14:paraId="09B2FE7B" w14:textId="77777777" w:rsidR="00EC41DC" w:rsidRPr="00CE1271" w:rsidRDefault="00EC41DC" w:rsidP="000F1A8F">
      <w:pPr>
        <w:spacing w:line="480" w:lineRule="auto"/>
        <w:jc w:val="both"/>
        <w:rPr>
          <w:b/>
          <w:bCs/>
          <w:sz w:val="22"/>
          <w:szCs w:val="22"/>
        </w:rPr>
      </w:pPr>
    </w:p>
    <w:p w14:paraId="14EE0DB4" w14:textId="5A765BF7" w:rsidR="00045DAD" w:rsidRPr="00CE1271" w:rsidRDefault="00170E88" w:rsidP="000F1A8F">
      <w:pPr>
        <w:spacing w:line="480" w:lineRule="auto"/>
        <w:jc w:val="both"/>
        <w:rPr>
          <w:b/>
          <w:bCs/>
        </w:rPr>
      </w:pPr>
      <w:r w:rsidRPr="00CE1271">
        <w:rPr>
          <w:b/>
          <w:bCs/>
        </w:rPr>
        <w:t>Abstract</w:t>
      </w:r>
    </w:p>
    <w:p w14:paraId="28328BBB" w14:textId="76A6CE73" w:rsidR="00EC41DC" w:rsidRDefault="00170E88" w:rsidP="000F1A8F">
      <w:pPr>
        <w:spacing w:line="480" w:lineRule="auto"/>
        <w:jc w:val="both"/>
        <w:rPr>
          <w:sz w:val="22"/>
          <w:szCs w:val="22"/>
        </w:rPr>
      </w:pPr>
      <w:r w:rsidRPr="00CE1271">
        <w:rPr>
          <w:sz w:val="22"/>
          <w:szCs w:val="22"/>
        </w:rPr>
        <w:t xml:space="preserve">The explosive increase in popularity and </w:t>
      </w:r>
      <w:r w:rsidR="00667280" w:rsidRPr="00CE1271">
        <w:rPr>
          <w:sz w:val="22"/>
          <w:szCs w:val="22"/>
        </w:rPr>
        <w:t xml:space="preserve">increased </w:t>
      </w:r>
      <w:r w:rsidRPr="00CE1271">
        <w:rPr>
          <w:sz w:val="22"/>
          <w:szCs w:val="22"/>
        </w:rPr>
        <w:t xml:space="preserve">accessibility to artificial intelligence and data science tools has opened the door for exploring previously deemed “too large” experimental spaces efficiently in experimental chemistry. This is of special interest for the field of electrocatalysis where the development of new materials has relied largely on trial-and-error approaches that are not time and resource-efficient. By leveraging these approaches, experimentalists can more effectively find promising electrocatalyst compositions and synthesis conditions that result in lower overpotentials and higher electrocatalyst durability. In this technical note, we use oxygen evolution electrocatalysts as a model to highlight potential pitfalls in the use of data-driven strategies for electrocatalyst </w:t>
      </w:r>
      <w:r w:rsidRPr="00CE1271">
        <w:rPr>
          <w:sz w:val="22"/>
          <w:szCs w:val="22"/>
        </w:rPr>
        <w:lastRenderedPageBreak/>
        <w:t>development, focusing on the importance choice of optimization metrics, normalization of data and common errors that may appear during this kind of approaches.</w:t>
      </w:r>
    </w:p>
    <w:p w14:paraId="2C52C964" w14:textId="77777777" w:rsidR="00616516" w:rsidRDefault="00616516" w:rsidP="000F1A8F">
      <w:pPr>
        <w:spacing w:line="480" w:lineRule="auto"/>
        <w:jc w:val="both"/>
        <w:rPr>
          <w:b/>
          <w:bCs/>
        </w:rPr>
      </w:pPr>
    </w:p>
    <w:p w14:paraId="5D98C800" w14:textId="0AEC750A" w:rsidR="00616516" w:rsidRPr="00616516" w:rsidRDefault="00616516" w:rsidP="000F1A8F">
      <w:pPr>
        <w:spacing w:line="480" w:lineRule="auto"/>
        <w:jc w:val="both"/>
        <w:rPr>
          <w:rFonts w:hint="eastAsia"/>
          <w:b/>
          <w:bCs/>
        </w:rPr>
      </w:pPr>
      <w:r>
        <w:rPr>
          <w:b/>
          <w:bCs/>
        </w:rPr>
        <w:t xml:space="preserve">Keywords: </w:t>
      </w:r>
      <w:r>
        <w:t>oxygen evolution reaction, water electrolysis, data-driven material discovery, Bayesian optimization, machine learning</w:t>
      </w:r>
    </w:p>
    <w:p w14:paraId="576E897E" w14:textId="77777777" w:rsidR="00616516" w:rsidRDefault="00616516" w:rsidP="000F1A8F">
      <w:pPr>
        <w:spacing w:line="480" w:lineRule="auto"/>
        <w:jc w:val="both"/>
        <w:rPr>
          <w:sz w:val="22"/>
          <w:szCs w:val="22"/>
        </w:rPr>
      </w:pPr>
    </w:p>
    <w:p w14:paraId="65D04DFA" w14:textId="77777777" w:rsidR="00616516" w:rsidRPr="00616516" w:rsidRDefault="00616516" w:rsidP="000F1A8F">
      <w:pPr>
        <w:spacing w:line="480" w:lineRule="auto"/>
        <w:jc w:val="both"/>
        <w:rPr>
          <w:rFonts w:hint="eastAsia"/>
          <w:sz w:val="22"/>
          <w:szCs w:val="22"/>
        </w:rPr>
      </w:pPr>
    </w:p>
    <w:p w14:paraId="0151335B" w14:textId="1BFF321F" w:rsidR="00EC41DC" w:rsidRPr="00CE1271" w:rsidRDefault="00170E88" w:rsidP="000F1A8F">
      <w:pPr>
        <w:spacing w:line="480" w:lineRule="auto"/>
        <w:jc w:val="both"/>
        <w:rPr>
          <w:b/>
          <w:bCs/>
        </w:rPr>
      </w:pPr>
      <w:r w:rsidRPr="00CE1271">
        <w:rPr>
          <w:b/>
          <w:bCs/>
        </w:rPr>
        <w:t>Introduction</w:t>
      </w:r>
    </w:p>
    <w:p w14:paraId="13E9BB84" w14:textId="66246A89" w:rsidR="00E2724E" w:rsidRPr="00CE1271" w:rsidRDefault="00E2724E" w:rsidP="000F1A8F">
      <w:pPr>
        <w:spacing w:line="480" w:lineRule="auto"/>
        <w:jc w:val="both"/>
        <w:rPr>
          <w:sz w:val="22"/>
          <w:szCs w:val="22"/>
        </w:rPr>
      </w:pPr>
      <w:r w:rsidRPr="00CE1271">
        <w:rPr>
          <w:sz w:val="22"/>
          <w:szCs w:val="22"/>
        </w:rPr>
        <w:t xml:space="preserve">Recent advances in </w:t>
      </w:r>
      <w:r w:rsidR="00E86E67" w:rsidRPr="00CE1271">
        <w:rPr>
          <w:sz w:val="22"/>
          <w:szCs w:val="22"/>
        </w:rPr>
        <w:t xml:space="preserve">cost-effective </w:t>
      </w:r>
      <w:r w:rsidR="00321394" w:rsidRPr="00CE1271">
        <w:rPr>
          <w:sz w:val="22"/>
          <w:szCs w:val="22"/>
        </w:rPr>
        <w:t>artificial intelligence</w:t>
      </w:r>
      <w:r w:rsidR="00321394" w:rsidRPr="00CE1271" w:rsidDel="00321394">
        <w:rPr>
          <w:sz w:val="22"/>
          <w:szCs w:val="22"/>
        </w:rPr>
        <w:t xml:space="preserve"> </w:t>
      </w:r>
      <w:r w:rsidR="00321394" w:rsidRPr="00CE1271">
        <w:rPr>
          <w:sz w:val="22"/>
          <w:szCs w:val="22"/>
        </w:rPr>
        <w:t>(AI)</w:t>
      </w:r>
      <w:r w:rsidRPr="00CE1271">
        <w:rPr>
          <w:sz w:val="22"/>
          <w:szCs w:val="22"/>
        </w:rPr>
        <w:t xml:space="preserve"> </w:t>
      </w:r>
      <w:r w:rsidR="00787737" w:rsidRPr="00CE1271">
        <w:rPr>
          <w:sz w:val="22"/>
          <w:szCs w:val="22"/>
        </w:rPr>
        <w:t xml:space="preserve">and as well as </w:t>
      </w:r>
      <w:r w:rsidR="000434C9" w:rsidRPr="00CE1271">
        <w:rPr>
          <w:sz w:val="22"/>
          <w:szCs w:val="22"/>
        </w:rPr>
        <w:t xml:space="preserve">affordable computing accessibility </w:t>
      </w:r>
      <w:r w:rsidRPr="00CE1271">
        <w:rPr>
          <w:sz w:val="22"/>
          <w:szCs w:val="22"/>
        </w:rPr>
        <w:t xml:space="preserve">have allowed us to explore seemingly impossibly big experimental </w:t>
      </w:r>
      <w:r w:rsidR="00A97297" w:rsidRPr="00CE1271">
        <w:rPr>
          <w:sz w:val="22"/>
          <w:szCs w:val="22"/>
        </w:rPr>
        <w:t xml:space="preserve">search </w:t>
      </w:r>
      <w:r w:rsidRPr="00CE1271">
        <w:rPr>
          <w:sz w:val="22"/>
          <w:szCs w:val="22"/>
        </w:rPr>
        <w:t xml:space="preserve">spaces efficiently and </w:t>
      </w:r>
      <w:r w:rsidR="003F672B" w:rsidRPr="00CE1271">
        <w:rPr>
          <w:sz w:val="22"/>
          <w:szCs w:val="22"/>
        </w:rPr>
        <w:t xml:space="preserve">discover </w:t>
      </w:r>
      <w:r w:rsidRPr="00CE1271">
        <w:rPr>
          <w:sz w:val="22"/>
          <w:szCs w:val="22"/>
        </w:rPr>
        <w:t>promising materials</w:t>
      </w:r>
      <w:r w:rsidR="000434C9" w:rsidRPr="00CE1271">
        <w:rPr>
          <w:sz w:val="22"/>
          <w:szCs w:val="22"/>
        </w:rPr>
        <w:t xml:space="preserve"> effectively</w:t>
      </w:r>
      <w:r w:rsidR="00FD7FF1" w:rsidRPr="00CE1271">
        <w:rPr>
          <w:sz w:val="22"/>
          <w:szCs w:val="22"/>
          <w:vertAlign w:val="superscript"/>
        </w:rPr>
        <w:t>1</w:t>
      </w:r>
      <w:r w:rsidR="009C04FD" w:rsidRPr="00CE1271">
        <w:rPr>
          <w:sz w:val="22"/>
          <w:szCs w:val="22"/>
          <w:vertAlign w:val="superscript"/>
        </w:rPr>
        <w:t>-</w:t>
      </w:r>
      <w:proofErr w:type="gramStart"/>
      <w:r w:rsidR="009C04FD" w:rsidRPr="00CE1271">
        <w:rPr>
          <w:sz w:val="22"/>
          <w:szCs w:val="22"/>
          <w:vertAlign w:val="superscript"/>
        </w:rPr>
        <w:t>6</w:t>
      </w:r>
      <w:r w:rsidR="00854E7E" w:rsidRPr="00CE1271">
        <w:rPr>
          <w:sz w:val="22"/>
          <w:szCs w:val="22"/>
          <w:vertAlign w:val="superscript"/>
        </w:rPr>
        <w:t xml:space="preserve"> </w:t>
      </w:r>
      <w:r w:rsidRPr="00CE1271">
        <w:rPr>
          <w:sz w:val="22"/>
          <w:szCs w:val="22"/>
        </w:rPr>
        <w:t>.</w:t>
      </w:r>
      <w:proofErr w:type="gramEnd"/>
      <w:r w:rsidRPr="00CE1271">
        <w:rPr>
          <w:sz w:val="22"/>
          <w:szCs w:val="22"/>
        </w:rPr>
        <w:t xml:space="preserve"> Especially, accessible ready-to-deploy algorithms</w:t>
      </w:r>
      <w:r w:rsidR="005D4CEF" w:rsidRPr="00CE1271">
        <w:rPr>
          <w:sz w:val="22"/>
          <w:szCs w:val="22"/>
        </w:rPr>
        <w:t xml:space="preserve"> including a wide spectrum of types of AI, such as machine-leaning (ML) or Bayesian optimization</w:t>
      </w:r>
      <w:r w:rsidR="00915F43" w:rsidRPr="00CE1271">
        <w:rPr>
          <w:sz w:val="22"/>
          <w:szCs w:val="22"/>
        </w:rPr>
        <w:t xml:space="preserve"> (BO)</w:t>
      </w:r>
      <w:r w:rsidR="00DF4332" w:rsidRPr="00CE1271">
        <w:rPr>
          <w:sz w:val="22"/>
          <w:szCs w:val="22"/>
        </w:rPr>
        <w:t>, a subset of ML</w:t>
      </w:r>
      <w:r w:rsidR="005D4CEF" w:rsidRPr="00CE1271">
        <w:rPr>
          <w:sz w:val="22"/>
          <w:szCs w:val="22"/>
        </w:rPr>
        <w:t>,</w:t>
      </w:r>
      <w:r w:rsidRPr="00CE1271">
        <w:rPr>
          <w:sz w:val="22"/>
          <w:szCs w:val="22"/>
        </w:rPr>
        <w:t xml:space="preserve"> have enabled experimentalists to apply “human-in-the-loop” </w:t>
      </w:r>
      <w:r w:rsidR="00C14D5C" w:rsidRPr="00CE1271">
        <w:rPr>
          <w:sz w:val="22"/>
          <w:szCs w:val="22"/>
        </w:rPr>
        <w:t>appr</w:t>
      </w:r>
      <w:r w:rsidR="005377D0" w:rsidRPr="00CE1271">
        <w:rPr>
          <w:sz w:val="22"/>
          <w:szCs w:val="22"/>
        </w:rPr>
        <w:t>oach</w:t>
      </w:r>
      <w:r w:rsidR="00B75BC1" w:rsidRPr="00CE1271">
        <w:rPr>
          <w:sz w:val="22"/>
          <w:szCs w:val="22"/>
        </w:rPr>
        <w:t>es</w:t>
      </w:r>
      <w:r w:rsidR="00761AD7" w:rsidRPr="00CE1271">
        <w:rPr>
          <w:sz w:val="22"/>
          <w:szCs w:val="22"/>
        </w:rPr>
        <w:t>.</w:t>
      </w:r>
      <w:r w:rsidR="009C04FD" w:rsidRPr="00CE1271">
        <w:rPr>
          <w:sz w:val="22"/>
          <w:szCs w:val="22"/>
          <w:vertAlign w:val="superscript"/>
        </w:rPr>
        <w:t>7-8</w:t>
      </w:r>
      <w:r w:rsidRPr="00CE1271">
        <w:rPr>
          <w:sz w:val="22"/>
          <w:szCs w:val="22"/>
        </w:rPr>
        <w:t xml:space="preserve"> Relying either on own’s pure experimental data or taking advantage of data available in the literature, experimentalists can explore their defined experimental space and find materials with better properties much more efficiently. Examples of successful application can be found not only in electrocatalysis</w:t>
      </w:r>
      <w:r w:rsidR="00C51260" w:rsidRPr="00CE1271">
        <w:rPr>
          <w:sz w:val="22"/>
          <w:szCs w:val="22"/>
          <w:vertAlign w:val="superscript"/>
        </w:rPr>
        <w:t>9-11</w:t>
      </w:r>
      <w:r w:rsidRPr="00CE1271">
        <w:rPr>
          <w:sz w:val="22"/>
          <w:szCs w:val="22"/>
        </w:rPr>
        <w:t xml:space="preserve"> but also in finding better alloys</w:t>
      </w:r>
      <w:r w:rsidR="00C51260" w:rsidRPr="00CE1271">
        <w:rPr>
          <w:sz w:val="22"/>
          <w:szCs w:val="22"/>
          <w:vertAlign w:val="superscript"/>
        </w:rPr>
        <w:t>12</w:t>
      </w:r>
      <w:r w:rsidRPr="00CE1271">
        <w:rPr>
          <w:sz w:val="22"/>
          <w:szCs w:val="22"/>
        </w:rPr>
        <w:t>, semiconductors</w:t>
      </w:r>
      <w:r w:rsidR="00C51260" w:rsidRPr="00CE1271">
        <w:rPr>
          <w:sz w:val="22"/>
          <w:szCs w:val="22"/>
          <w:vertAlign w:val="superscript"/>
        </w:rPr>
        <w:t>13</w:t>
      </w:r>
      <w:r w:rsidRPr="00CE1271">
        <w:rPr>
          <w:sz w:val="22"/>
          <w:szCs w:val="22"/>
        </w:rPr>
        <w:t xml:space="preserve"> or polymers</w:t>
      </w:r>
      <w:r w:rsidR="00C51260" w:rsidRPr="00CE1271">
        <w:rPr>
          <w:sz w:val="22"/>
          <w:szCs w:val="22"/>
          <w:vertAlign w:val="superscript"/>
        </w:rPr>
        <w:t>14</w:t>
      </w:r>
      <w:r w:rsidRPr="00CE1271">
        <w:rPr>
          <w:sz w:val="22"/>
          <w:szCs w:val="22"/>
        </w:rPr>
        <w:t>.</w:t>
      </w:r>
      <w:r w:rsidR="00CB78CE" w:rsidRPr="00CE1271">
        <w:rPr>
          <w:sz w:val="22"/>
          <w:szCs w:val="22"/>
        </w:rPr>
        <w:t xml:space="preserve"> These research outcomes </w:t>
      </w:r>
      <w:r w:rsidR="00616156" w:rsidRPr="00CE1271">
        <w:rPr>
          <w:sz w:val="22"/>
          <w:szCs w:val="22"/>
        </w:rPr>
        <w:t>indicate</w:t>
      </w:r>
      <w:r w:rsidR="00CB78CE" w:rsidRPr="00CE1271">
        <w:rPr>
          <w:sz w:val="22"/>
          <w:szCs w:val="22"/>
        </w:rPr>
        <w:t xml:space="preserve"> that the AI-powered </w:t>
      </w:r>
      <w:r w:rsidR="00AB0135" w:rsidRPr="00CE1271">
        <w:rPr>
          <w:sz w:val="22"/>
          <w:szCs w:val="22"/>
        </w:rPr>
        <w:t xml:space="preserve">methodology would be essential tool in research in </w:t>
      </w:r>
      <w:r w:rsidR="0019076B" w:rsidRPr="00CE1271">
        <w:rPr>
          <w:sz w:val="22"/>
          <w:szCs w:val="22"/>
        </w:rPr>
        <w:t>the very</w:t>
      </w:r>
      <w:r w:rsidR="00327EB1" w:rsidRPr="00CE1271">
        <w:rPr>
          <w:sz w:val="22"/>
          <w:szCs w:val="22"/>
        </w:rPr>
        <w:t xml:space="preserve"> </w:t>
      </w:r>
      <w:r w:rsidR="00AB0135" w:rsidRPr="00CE1271">
        <w:rPr>
          <w:sz w:val="22"/>
          <w:szCs w:val="22"/>
        </w:rPr>
        <w:t>near future</w:t>
      </w:r>
      <w:r w:rsidR="00327EB1" w:rsidRPr="00CE1271">
        <w:rPr>
          <w:sz w:val="22"/>
          <w:szCs w:val="22"/>
        </w:rPr>
        <w:t>.</w:t>
      </w:r>
    </w:p>
    <w:p w14:paraId="515A0DD6" w14:textId="0FFC2507" w:rsidR="00D151E8" w:rsidRPr="00CE1271" w:rsidRDefault="00D00C81" w:rsidP="000F1A8F">
      <w:pPr>
        <w:spacing w:line="480" w:lineRule="auto"/>
        <w:jc w:val="both"/>
        <w:rPr>
          <w:sz w:val="22"/>
          <w:szCs w:val="22"/>
        </w:rPr>
      </w:pPr>
      <w:r w:rsidRPr="00CE1271">
        <w:rPr>
          <w:sz w:val="22"/>
          <w:szCs w:val="22"/>
        </w:rPr>
        <w:t xml:space="preserve">In this context, as the </w:t>
      </w:r>
      <w:r w:rsidR="00D75A26" w:rsidRPr="00CE1271">
        <w:rPr>
          <w:sz w:val="22"/>
          <w:szCs w:val="22"/>
        </w:rPr>
        <w:t>carbon neutrality goal</w:t>
      </w:r>
      <w:r w:rsidRPr="00CE1271">
        <w:rPr>
          <w:sz w:val="22"/>
          <w:szCs w:val="22"/>
        </w:rPr>
        <w:t xml:space="preserve"> is set</w:t>
      </w:r>
      <w:r w:rsidR="00D75A26" w:rsidRPr="00CE1271">
        <w:rPr>
          <w:sz w:val="22"/>
          <w:szCs w:val="22"/>
        </w:rPr>
        <w:t xml:space="preserve"> by 2050, </w:t>
      </w:r>
      <w:r w:rsidR="003E4A49" w:rsidRPr="00CE1271">
        <w:rPr>
          <w:sz w:val="22"/>
          <w:szCs w:val="22"/>
        </w:rPr>
        <w:t xml:space="preserve">water electrolysis technology </w:t>
      </w:r>
      <w:r w:rsidR="005377D0" w:rsidRPr="00CE1271">
        <w:rPr>
          <w:sz w:val="22"/>
          <w:szCs w:val="22"/>
        </w:rPr>
        <w:t>is</w:t>
      </w:r>
      <w:r w:rsidR="008C3E31" w:rsidRPr="00CE1271">
        <w:rPr>
          <w:sz w:val="22"/>
          <w:szCs w:val="22"/>
        </w:rPr>
        <w:t xml:space="preserve"> </w:t>
      </w:r>
      <w:r w:rsidR="00B03ADA" w:rsidRPr="00CE1271">
        <w:rPr>
          <w:sz w:val="22"/>
          <w:szCs w:val="22"/>
        </w:rPr>
        <w:t xml:space="preserve">highly </w:t>
      </w:r>
      <w:r w:rsidR="008C3E31" w:rsidRPr="00CE1271">
        <w:rPr>
          <w:sz w:val="22"/>
          <w:szCs w:val="22"/>
        </w:rPr>
        <w:t>demanded</w:t>
      </w:r>
      <w:r w:rsidR="003E4A49" w:rsidRPr="00CE1271">
        <w:rPr>
          <w:sz w:val="22"/>
          <w:szCs w:val="22"/>
        </w:rPr>
        <w:t xml:space="preserve"> </w:t>
      </w:r>
      <w:r w:rsidR="008C3E31" w:rsidRPr="00CE1271">
        <w:rPr>
          <w:sz w:val="22"/>
          <w:szCs w:val="22"/>
        </w:rPr>
        <w:t>to</w:t>
      </w:r>
      <w:r w:rsidR="003E4A49" w:rsidRPr="00CE1271">
        <w:rPr>
          <w:sz w:val="22"/>
          <w:szCs w:val="22"/>
        </w:rPr>
        <w:t xml:space="preserve"> produc</w:t>
      </w:r>
      <w:r w:rsidR="008C3E31" w:rsidRPr="00CE1271">
        <w:rPr>
          <w:sz w:val="22"/>
          <w:szCs w:val="22"/>
        </w:rPr>
        <w:t>e</w:t>
      </w:r>
      <w:r w:rsidR="003E4A49" w:rsidRPr="00CE1271">
        <w:rPr>
          <w:sz w:val="22"/>
          <w:szCs w:val="22"/>
        </w:rPr>
        <w:t xml:space="preserve"> renewable, green hydrogen from electricity</w:t>
      </w:r>
      <w:r w:rsidR="00AB48CF" w:rsidRPr="00CE1271">
        <w:rPr>
          <w:sz w:val="22"/>
          <w:szCs w:val="22"/>
        </w:rPr>
        <w:t xml:space="preserve">. </w:t>
      </w:r>
      <w:r w:rsidR="008C3E31" w:rsidRPr="00CE1271">
        <w:rPr>
          <w:sz w:val="22"/>
          <w:szCs w:val="22"/>
        </w:rPr>
        <w:t xml:space="preserve">Therefore, </w:t>
      </w:r>
      <w:r w:rsidR="003B6110" w:rsidRPr="00CE1271">
        <w:rPr>
          <w:sz w:val="22"/>
          <w:szCs w:val="22"/>
        </w:rPr>
        <w:t xml:space="preserve">accelerated discovery </w:t>
      </w:r>
      <w:r w:rsidR="003B6110" w:rsidRPr="00CE1271">
        <w:rPr>
          <w:sz w:val="22"/>
          <w:szCs w:val="22"/>
        </w:rPr>
        <w:lastRenderedPageBreak/>
        <w:t xml:space="preserve">of </w:t>
      </w:r>
      <w:r w:rsidR="00B068C9" w:rsidRPr="00CE1271">
        <w:rPr>
          <w:sz w:val="22"/>
          <w:szCs w:val="22"/>
        </w:rPr>
        <w:t xml:space="preserve">active and durable electrocatalysts with </w:t>
      </w:r>
      <w:r w:rsidR="0035318E" w:rsidRPr="00CE1271">
        <w:rPr>
          <w:sz w:val="22"/>
          <w:szCs w:val="22"/>
        </w:rPr>
        <w:t>affordable elements</w:t>
      </w:r>
      <w:r w:rsidR="00B068C9" w:rsidRPr="00CE1271">
        <w:rPr>
          <w:sz w:val="22"/>
          <w:szCs w:val="22"/>
        </w:rPr>
        <w:t xml:space="preserve"> </w:t>
      </w:r>
      <w:r w:rsidR="0035318E" w:rsidRPr="00CE1271">
        <w:rPr>
          <w:sz w:val="22"/>
          <w:szCs w:val="22"/>
        </w:rPr>
        <w:t>are</w:t>
      </w:r>
      <w:r w:rsidR="00B068C9" w:rsidRPr="00CE1271">
        <w:rPr>
          <w:sz w:val="22"/>
          <w:szCs w:val="22"/>
        </w:rPr>
        <w:t xml:space="preserve"> also</w:t>
      </w:r>
      <w:r w:rsidR="0035318E" w:rsidRPr="00CE1271">
        <w:rPr>
          <w:sz w:val="22"/>
          <w:szCs w:val="22"/>
        </w:rPr>
        <w:t xml:space="preserve"> demanded as still the present water </w:t>
      </w:r>
      <w:r w:rsidR="009438BD" w:rsidRPr="00CE1271">
        <w:rPr>
          <w:sz w:val="22"/>
          <w:szCs w:val="22"/>
        </w:rPr>
        <w:t>electrolyzers are rel</w:t>
      </w:r>
      <w:r w:rsidR="00AA4C07" w:rsidRPr="00CE1271">
        <w:rPr>
          <w:sz w:val="22"/>
          <w:szCs w:val="22"/>
        </w:rPr>
        <w:t>ied</w:t>
      </w:r>
      <w:r w:rsidR="009438BD" w:rsidRPr="00CE1271">
        <w:rPr>
          <w:sz w:val="22"/>
          <w:szCs w:val="22"/>
        </w:rPr>
        <w:t xml:space="preserve"> on the</w:t>
      </w:r>
      <w:r w:rsidR="00AA4C07" w:rsidRPr="00CE1271">
        <w:rPr>
          <w:sz w:val="22"/>
          <w:szCs w:val="22"/>
        </w:rPr>
        <w:t xml:space="preserve"> expensive and limited </w:t>
      </w:r>
      <w:r w:rsidR="00EA6811" w:rsidRPr="00CE1271">
        <w:rPr>
          <w:sz w:val="22"/>
          <w:szCs w:val="22"/>
        </w:rPr>
        <w:t>platinum-group-metals</w:t>
      </w:r>
      <w:r w:rsidR="008057E4" w:rsidRPr="00CE1271">
        <w:rPr>
          <w:rFonts w:hint="eastAsia"/>
          <w:sz w:val="22"/>
          <w:szCs w:val="22"/>
        </w:rPr>
        <w:t xml:space="preserve"> (PGMs)</w:t>
      </w:r>
      <w:r w:rsidR="00C51260" w:rsidRPr="00CE1271">
        <w:rPr>
          <w:sz w:val="22"/>
          <w:szCs w:val="22"/>
          <w:vertAlign w:val="superscript"/>
        </w:rPr>
        <w:t>15</w:t>
      </w:r>
      <w:r w:rsidR="00EA6811" w:rsidRPr="00CE1271">
        <w:rPr>
          <w:sz w:val="22"/>
          <w:szCs w:val="22"/>
        </w:rPr>
        <w:t>.</w:t>
      </w:r>
      <w:r w:rsidR="00B068C9" w:rsidRPr="00CE1271">
        <w:rPr>
          <w:sz w:val="22"/>
          <w:szCs w:val="22"/>
        </w:rPr>
        <w:t xml:space="preserve"> </w:t>
      </w:r>
      <w:r w:rsidR="005B5CFB" w:rsidRPr="00CE1271">
        <w:rPr>
          <w:sz w:val="22"/>
          <w:szCs w:val="22"/>
        </w:rPr>
        <w:t>The e</w:t>
      </w:r>
      <w:r w:rsidR="00AB48CF" w:rsidRPr="00CE1271">
        <w:rPr>
          <w:sz w:val="22"/>
          <w:szCs w:val="22"/>
        </w:rPr>
        <w:t xml:space="preserve">lectrocatalytic </w:t>
      </w:r>
      <w:r w:rsidR="003E4A49" w:rsidRPr="00CE1271">
        <w:rPr>
          <w:sz w:val="22"/>
          <w:szCs w:val="22"/>
        </w:rPr>
        <w:t>reaction at the cathode</w:t>
      </w:r>
      <w:r w:rsidR="005B5CFB" w:rsidRPr="00CE1271">
        <w:rPr>
          <w:sz w:val="22"/>
          <w:szCs w:val="22"/>
        </w:rPr>
        <w:t>, i.e.</w:t>
      </w:r>
      <w:r w:rsidR="003E4A49" w:rsidRPr="00CE1271">
        <w:rPr>
          <w:sz w:val="22"/>
          <w:szCs w:val="22"/>
        </w:rPr>
        <w:t xml:space="preserve"> hydrogen evolution reaction</w:t>
      </w:r>
      <w:r w:rsidR="00AB48CF" w:rsidRPr="00CE1271">
        <w:rPr>
          <w:sz w:val="22"/>
          <w:szCs w:val="22"/>
        </w:rPr>
        <w:t xml:space="preserve"> (HER)</w:t>
      </w:r>
      <w:r w:rsidR="005B5CFB" w:rsidRPr="00CE1271">
        <w:rPr>
          <w:sz w:val="22"/>
          <w:szCs w:val="22"/>
        </w:rPr>
        <w:t>,</w:t>
      </w:r>
      <w:r w:rsidR="003E4A49" w:rsidRPr="00CE1271">
        <w:rPr>
          <w:sz w:val="22"/>
          <w:szCs w:val="22"/>
        </w:rPr>
        <w:t xml:space="preserve"> is comparatively simpler and has been extensively studied</w:t>
      </w:r>
      <w:r w:rsidR="0056129C" w:rsidRPr="00CE1271">
        <w:rPr>
          <w:sz w:val="22"/>
          <w:szCs w:val="22"/>
        </w:rPr>
        <w:t xml:space="preserve"> since long time ago</w:t>
      </w:r>
      <w:r w:rsidR="00C37F98" w:rsidRPr="00CE1271">
        <w:rPr>
          <w:sz w:val="22"/>
          <w:szCs w:val="22"/>
        </w:rPr>
        <w:t>.</w:t>
      </w:r>
      <w:r w:rsidR="00C51260" w:rsidRPr="00CE1271">
        <w:rPr>
          <w:sz w:val="22"/>
          <w:szCs w:val="22"/>
          <w:vertAlign w:val="superscript"/>
        </w:rPr>
        <w:t>16</w:t>
      </w:r>
      <w:r w:rsidR="00B216D0" w:rsidRPr="00CE1271">
        <w:rPr>
          <w:sz w:val="22"/>
          <w:szCs w:val="22"/>
          <w:vertAlign w:val="superscript"/>
        </w:rPr>
        <w:t>-21</w:t>
      </w:r>
      <w:r w:rsidR="00DC63DA" w:rsidRPr="00CE1271">
        <w:rPr>
          <w:sz w:val="22"/>
          <w:szCs w:val="22"/>
        </w:rPr>
        <w:t xml:space="preserve"> </w:t>
      </w:r>
      <w:r w:rsidR="00C37F98" w:rsidRPr="00CE1271">
        <w:rPr>
          <w:sz w:val="22"/>
          <w:szCs w:val="22"/>
        </w:rPr>
        <w:t xml:space="preserve">As the result, </w:t>
      </w:r>
      <w:r w:rsidR="00DC63DA" w:rsidRPr="00CE1271">
        <w:rPr>
          <w:sz w:val="22"/>
          <w:szCs w:val="22"/>
        </w:rPr>
        <w:t>several</w:t>
      </w:r>
      <w:r w:rsidR="00AB48CF" w:rsidRPr="00CE1271">
        <w:rPr>
          <w:sz w:val="22"/>
          <w:szCs w:val="22"/>
        </w:rPr>
        <w:t xml:space="preserve"> </w:t>
      </w:r>
      <w:r w:rsidR="00A06AB2" w:rsidRPr="00CE1271">
        <w:rPr>
          <w:rFonts w:hint="eastAsia"/>
          <w:sz w:val="22"/>
          <w:szCs w:val="22"/>
        </w:rPr>
        <w:t xml:space="preserve">promising </w:t>
      </w:r>
      <w:r w:rsidR="00AB48CF" w:rsidRPr="00CE1271">
        <w:rPr>
          <w:sz w:val="22"/>
          <w:szCs w:val="22"/>
        </w:rPr>
        <w:t>cost</w:t>
      </w:r>
      <w:r w:rsidR="00C37F98" w:rsidRPr="00CE1271">
        <w:rPr>
          <w:sz w:val="22"/>
          <w:szCs w:val="22"/>
        </w:rPr>
        <w:t>-</w:t>
      </w:r>
      <w:r w:rsidR="00AB48CF" w:rsidRPr="00CE1271">
        <w:rPr>
          <w:sz w:val="22"/>
          <w:szCs w:val="22"/>
        </w:rPr>
        <w:t>effective electrocatalysts have been found</w:t>
      </w:r>
      <w:r w:rsidR="00C37F98" w:rsidRPr="00CE1271">
        <w:rPr>
          <w:sz w:val="22"/>
          <w:szCs w:val="22"/>
        </w:rPr>
        <w:t>.</w:t>
      </w:r>
      <w:r w:rsidR="00DD753B" w:rsidRPr="00CE1271">
        <w:rPr>
          <w:sz w:val="22"/>
          <w:szCs w:val="22"/>
          <w:vertAlign w:val="superscript"/>
        </w:rPr>
        <w:t>22, 23</w:t>
      </w:r>
      <w:r w:rsidR="003E4A49" w:rsidRPr="00CE1271">
        <w:rPr>
          <w:sz w:val="22"/>
          <w:szCs w:val="22"/>
        </w:rPr>
        <w:t xml:space="preserve"> </w:t>
      </w:r>
      <w:r w:rsidR="00AB48CF" w:rsidRPr="00CE1271">
        <w:rPr>
          <w:sz w:val="22"/>
          <w:szCs w:val="22"/>
        </w:rPr>
        <w:t>At</w:t>
      </w:r>
      <w:r w:rsidR="003E4A49" w:rsidRPr="00CE1271">
        <w:rPr>
          <w:sz w:val="22"/>
          <w:szCs w:val="22"/>
        </w:rPr>
        <w:t xml:space="preserve"> the anode</w:t>
      </w:r>
      <w:r w:rsidR="00C37F98" w:rsidRPr="00CE1271">
        <w:rPr>
          <w:sz w:val="22"/>
          <w:szCs w:val="22"/>
        </w:rPr>
        <w:t xml:space="preserve"> where</w:t>
      </w:r>
      <w:r w:rsidR="00AB48CF" w:rsidRPr="00CE1271">
        <w:rPr>
          <w:sz w:val="22"/>
          <w:szCs w:val="22"/>
        </w:rPr>
        <w:t xml:space="preserve"> the </w:t>
      </w:r>
      <w:r w:rsidR="003E4A49" w:rsidRPr="00CE1271">
        <w:rPr>
          <w:sz w:val="22"/>
          <w:szCs w:val="22"/>
        </w:rPr>
        <w:t>oxygen evolution reaction</w:t>
      </w:r>
      <w:r w:rsidR="00AB48CF" w:rsidRPr="00CE1271">
        <w:rPr>
          <w:sz w:val="22"/>
          <w:szCs w:val="22"/>
        </w:rPr>
        <w:t xml:space="preserve"> (OER)</w:t>
      </w:r>
      <w:r w:rsidR="003E4A49" w:rsidRPr="00CE1271">
        <w:rPr>
          <w:sz w:val="22"/>
          <w:szCs w:val="22"/>
        </w:rPr>
        <w:t xml:space="preserve"> </w:t>
      </w:r>
      <w:r w:rsidR="00AB48CF" w:rsidRPr="00CE1271">
        <w:rPr>
          <w:sz w:val="22"/>
          <w:szCs w:val="22"/>
        </w:rPr>
        <w:t>takes place</w:t>
      </w:r>
      <w:r w:rsidR="00DB1AE2" w:rsidRPr="00CE1271">
        <w:rPr>
          <w:sz w:val="22"/>
          <w:szCs w:val="22"/>
        </w:rPr>
        <w:t xml:space="preserve">, </w:t>
      </w:r>
      <w:r w:rsidR="00EB0529" w:rsidRPr="00CE1271">
        <w:rPr>
          <w:sz w:val="22"/>
          <w:szCs w:val="22"/>
        </w:rPr>
        <w:t xml:space="preserve">due to the </w:t>
      </w:r>
      <w:r w:rsidR="00A06AB2" w:rsidRPr="00CE1271">
        <w:rPr>
          <w:rFonts w:hint="eastAsia"/>
          <w:sz w:val="22"/>
          <w:szCs w:val="22"/>
        </w:rPr>
        <w:t xml:space="preserve">sluggish </w:t>
      </w:r>
      <w:r w:rsidR="00EB0529" w:rsidRPr="00CE1271">
        <w:rPr>
          <w:sz w:val="22"/>
          <w:szCs w:val="22"/>
        </w:rPr>
        <w:t>electrode</w:t>
      </w:r>
      <w:r w:rsidR="00AB48CF" w:rsidRPr="00CE1271">
        <w:rPr>
          <w:sz w:val="22"/>
          <w:szCs w:val="22"/>
        </w:rPr>
        <w:t xml:space="preserve"> </w:t>
      </w:r>
      <w:r w:rsidR="003E4A49" w:rsidRPr="00CE1271">
        <w:rPr>
          <w:sz w:val="22"/>
          <w:szCs w:val="22"/>
        </w:rPr>
        <w:t>kinetics that involve</w:t>
      </w:r>
      <w:r w:rsidR="00A06AB2" w:rsidRPr="00CE1271">
        <w:rPr>
          <w:rFonts w:hint="eastAsia"/>
          <w:sz w:val="22"/>
          <w:szCs w:val="22"/>
        </w:rPr>
        <w:t>s</w:t>
      </w:r>
      <w:r w:rsidR="003E4A49" w:rsidRPr="00CE1271">
        <w:rPr>
          <w:sz w:val="22"/>
          <w:szCs w:val="22"/>
        </w:rPr>
        <w:t xml:space="preserve"> four electrons, </w:t>
      </w:r>
      <w:r w:rsidR="00FA3A35" w:rsidRPr="00CE1271">
        <w:rPr>
          <w:sz w:val="22"/>
          <w:szCs w:val="22"/>
        </w:rPr>
        <w:t>OER requires</w:t>
      </w:r>
      <w:r w:rsidR="003E4A49" w:rsidRPr="00CE1271">
        <w:rPr>
          <w:sz w:val="22"/>
          <w:szCs w:val="22"/>
        </w:rPr>
        <w:t xml:space="preserve"> higher overpotential</w:t>
      </w:r>
      <w:r w:rsidR="00FB20DB" w:rsidRPr="00CE1271">
        <w:rPr>
          <w:sz w:val="22"/>
          <w:szCs w:val="22"/>
        </w:rPr>
        <w:t xml:space="preserve"> even</w:t>
      </w:r>
      <w:r w:rsidR="00F65A99" w:rsidRPr="00CE1271">
        <w:rPr>
          <w:sz w:val="22"/>
          <w:szCs w:val="22"/>
        </w:rPr>
        <w:t xml:space="preserve"> for</w:t>
      </w:r>
      <w:r w:rsidR="003E4A49" w:rsidRPr="00CE1271">
        <w:rPr>
          <w:sz w:val="22"/>
          <w:szCs w:val="22"/>
        </w:rPr>
        <w:t xml:space="preserve"> the most active catalyst</w:t>
      </w:r>
      <w:r w:rsidR="00FB20DB" w:rsidRPr="00CE1271">
        <w:rPr>
          <w:sz w:val="22"/>
          <w:szCs w:val="22"/>
        </w:rPr>
        <w:t xml:space="preserve"> of</w:t>
      </w:r>
      <w:r w:rsidR="003E4A49" w:rsidRPr="00CE1271">
        <w:rPr>
          <w:sz w:val="22"/>
          <w:szCs w:val="22"/>
        </w:rPr>
        <w:t xml:space="preserve"> Iridium oxide</w:t>
      </w:r>
      <w:r w:rsidR="00FB20DB" w:rsidRPr="00CE1271">
        <w:rPr>
          <w:sz w:val="22"/>
          <w:szCs w:val="22"/>
        </w:rPr>
        <w:t>.</w:t>
      </w:r>
      <w:r w:rsidR="00DD753B" w:rsidRPr="00CE1271">
        <w:rPr>
          <w:sz w:val="22"/>
          <w:szCs w:val="22"/>
          <w:vertAlign w:val="superscript"/>
        </w:rPr>
        <w:t>24</w:t>
      </w:r>
      <w:r w:rsidR="008C53FB" w:rsidRPr="00CE1271">
        <w:rPr>
          <w:sz w:val="22"/>
          <w:szCs w:val="22"/>
        </w:rPr>
        <w:t xml:space="preserve"> </w:t>
      </w:r>
      <w:r w:rsidR="00042650" w:rsidRPr="00CE1271">
        <w:rPr>
          <w:sz w:val="22"/>
          <w:szCs w:val="22"/>
        </w:rPr>
        <w:t>Therefore, various data-driven strategies can be seen in order to discovery electrocatalysts which can be substituted with Ir.</w:t>
      </w:r>
      <w:r w:rsidR="003E4A49" w:rsidRPr="00CE1271">
        <w:rPr>
          <w:sz w:val="22"/>
          <w:szCs w:val="22"/>
        </w:rPr>
        <w:t xml:space="preserve"> </w:t>
      </w:r>
    </w:p>
    <w:p w14:paraId="5ED2C809" w14:textId="06F6C06E" w:rsidR="0085505B" w:rsidRDefault="00222513" w:rsidP="000F1A8F">
      <w:pPr>
        <w:spacing w:line="480" w:lineRule="auto"/>
        <w:jc w:val="both"/>
        <w:rPr>
          <w:sz w:val="22"/>
          <w:szCs w:val="22"/>
        </w:rPr>
      </w:pPr>
      <w:r w:rsidRPr="00CE1271">
        <w:rPr>
          <w:sz w:val="22"/>
          <w:szCs w:val="22"/>
        </w:rPr>
        <w:t>However, in fact, t</w:t>
      </w:r>
      <w:r w:rsidR="008C53FB" w:rsidRPr="00CE1271">
        <w:rPr>
          <w:sz w:val="22"/>
          <w:szCs w:val="22"/>
        </w:rPr>
        <w:t>he explosive popularity of these new data science-assisted/</w:t>
      </w:r>
      <w:r w:rsidR="00622984" w:rsidRPr="00CE1271">
        <w:rPr>
          <w:sz w:val="22"/>
          <w:szCs w:val="22"/>
        </w:rPr>
        <w:t>ML</w:t>
      </w:r>
      <w:r w:rsidR="008C53FB" w:rsidRPr="00CE1271">
        <w:rPr>
          <w:sz w:val="22"/>
          <w:szCs w:val="22"/>
        </w:rPr>
        <w:t xml:space="preserve">-assisted approaches </w:t>
      </w:r>
      <w:r w:rsidR="00622984" w:rsidRPr="00CE1271">
        <w:rPr>
          <w:sz w:val="22"/>
          <w:szCs w:val="22"/>
        </w:rPr>
        <w:t>invite</w:t>
      </w:r>
      <w:r w:rsidR="008C53FB" w:rsidRPr="00CE1271">
        <w:rPr>
          <w:sz w:val="22"/>
          <w:szCs w:val="22"/>
        </w:rPr>
        <w:t xml:space="preserve"> the possibility of </w:t>
      </w:r>
      <w:r w:rsidR="00861F87" w:rsidRPr="00CE1271">
        <w:rPr>
          <w:sz w:val="22"/>
          <w:szCs w:val="22"/>
        </w:rPr>
        <w:t xml:space="preserve">unconventional </w:t>
      </w:r>
      <w:r w:rsidR="008C53FB" w:rsidRPr="00CE1271">
        <w:rPr>
          <w:sz w:val="22"/>
          <w:szCs w:val="22"/>
        </w:rPr>
        <w:t>mistakes and errors in the cycles of experimentation, data processing and re-training of model</w:t>
      </w:r>
      <w:r w:rsidR="00622984" w:rsidRPr="00CE1271">
        <w:rPr>
          <w:sz w:val="22"/>
          <w:szCs w:val="22"/>
        </w:rPr>
        <w:t>s</w:t>
      </w:r>
      <w:r w:rsidR="008C53FB" w:rsidRPr="00CE1271">
        <w:rPr>
          <w:sz w:val="22"/>
          <w:szCs w:val="22"/>
        </w:rPr>
        <w:t>.</w:t>
      </w:r>
      <w:r w:rsidR="00EE6B1B" w:rsidRPr="00CE1271">
        <w:rPr>
          <w:sz w:val="22"/>
          <w:szCs w:val="22"/>
        </w:rPr>
        <w:t xml:space="preserve"> These mistakes and errors are indeed new therefore we are facing an </w:t>
      </w:r>
      <w:r w:rsidR="00D45899" w:rsidRPr="00CE1271">
        <w:rPr>
          <w:sz w:val="22"/>
          <w:szCs w:val="22"/>
        </w:rPr>
        <w:t xml:space="preserve">open </w:t>
      </w:r>
      <w:r w:rsidR="00616156" w:rsidRPr="00CE1271">
        <w:rPr>
          <w:sz w:val="22"/>
          <w:szCs w:val="22"/>
        </w:rPr>
        <w:t>discussion about</w:t>
      </w:r>
      <w:r w:rsidR="00EE6B1B" w:rsidRPr="00CE1271">
        <w:rPr>
          <w:sz w:val="22"/>
          <w:szCs w:val="22"/>
        </w:rPr>
        <w:t xml:space="preserve"> how to </w:t>
      </w:r>
      <w:r w:rsidR="00D47A3F" w:rsidRPr="00CE1271">
        <w:rPr>
          <w:sz w:val="22"/>
          <w:szCs w:val="22"/>
        </w:rPr>
        <w:t>solve the</w:t>
      </w:r>
      <w:r w:rsidR="00D45899" w:rsidRPr="00CE1271">
        <w:rPr>
          <w:sz w:val="22"/>
          <w:szCs w:val="22"/>
        </w:rPr>
        <w:t xml:space="preserve"> issues.</w:t>
      </w:r>
      <w:r w:rsidR="008C53FB" w:rsidRPr="00CE1271">
        <w:rPr>
          <w:sz w:val="22"/>
          <w:szCs w:val="22"/>
        </w:rPr>
        <w:t xml:space="preserve"> Particularly, in the case of electrocatalysis these problems are further accentuated due to the complexities associated with reliably measuring electrochemical phenomena</w:t>
      </w:r>
      <w:r w:rsidR="00DD753B" w:rsidRPr="00CE1271">
        <w:rPr>
          <w:sz w:val="22"/>
          <w:szCs w:val="22"/>
          <w:vertAlign w:val="superscript"/>
        </w:rPr>
        <w:t>25</w:t>
      </w:r>
      <w:r w:rsidR="008C53FB" w:rsidRPr="00CE1271">
        <w:rPr>
          <w:sz w:val="22"/>
          <w:szCs w:val="22"/>
        </w:rPr>
        <w:t>, variety of experimental approaches</w:t>
      </w:r>
      <w:r w:rsidR="00DD753B" w:rsidRPr="00CE1271">
        <w:rPr>
          <w:sz w:val="22"/>
          <w:szCs w:val="22"/>
          <w:vertAlign w:val="superscript"/>
        </w:rPr>
        <w:t>26</w:t>
      </w:r>
      <w:r w:rsidR="008C53FB" w:rsidRPr="00CE1271">
        <w:rPr>
          <w:sz w:val="22"/>
          <w:szCs w:val="22"/>
        </w:rPr>
        <w:t xml:space="preserve"> and abundance of non-standardized home-made equipment. </w:t>
      </w:r>
      <w:r w:rsidR="00FA423B" w:rsidRPr="00CE1271">
        <w:rPr>
          <w:sz w:val="22"/>
          <w:szCs w:val="22"/>
        </w:rPr>
        <w:t xml:space="preserve">This issue is not new as </w:t>
      </w:r>
      <w:r w:rsidR="006A2831" w:rsidRPr="00CE1271">
        <w:rPr>
          <w:sz w:val="22"/>
          <w:szCs w:val="22"/>
        </w:rPr>
        <w:t>Kita</w:t>
      </w:r>
      <w:r w:rsidR="00DD753B" w:rsidRPr="00CE1271">
        <w:rPr>
          <w:sz w:val="22"/>
          <w:szCs w:val="22"/>
          <w:vertAlign w:val="superscript"/>
        </w:rPr>
        <w:t>27</w:t>
      </w:r>
      <w:r w:rsidR="006A2831" w:rsidRPr="00CE1271">
        <w:rPr>
          <w:sz w:val="22"/>
          <w:szCs w:val="22"/>
        </w:rPr>
        <w:t xml:space="preserve"> and </w:t>
      </w:r>
      <w:r w:rsidR="00FA423B" w:rsidRPr="00CE1271">
        <w:rPr>
          <w:sz w:val="22"/>
          <w:szCs w:val="22"/>
        </w:rPr>
        <w:t>Trasatti</w:t>
      </w:r>
      <w:r w:rsidR="00DD753B" w:rsidRPr="00CE1271">
        <w:rPr>
          <w:sz w:val="22"/>
          <w:szCs w:val="22"/>
          <w:vertAlign w:val="superscript"/>
        </w:rPr>
        <w:t>28</w:t>
      </w:r>
      <w:r w:rsidR="0078542B" w:rsidRPr="00CE1271">
        <w:rPr>
          <w:sz w:val="22"/>
          <w:szCs w:val="22"/>
          <w:vertAlign w:val="superscript"/>
        </w:rPr>
        <w:t xml:space="preserve"> </w:t>
      </w:r>
      <w:r w:rsidR="006A2831" w:rsidRPr="00CE1271">
        <w:rPr>
          <w:sz w:val="22"/>
          <w:szCs w:val="22"/>
        </w:rPr>
        <w:t xml:space="preserve">independently have </w:t>
      </w:r>
      <w:r w:rsidR="00FA423B" w:rsidRPr="00CE1271">
        <w:rPr>
          <w:sz w:val="22"/>
          <w:szCs w:val="22"/>
        </w:rPr>
        <w:t>found ou</w:t>
      </w:r>
      <w:r w:rsidR="006A2831" w:rsidRPr="00CE1271">
        <w:rPr>
          <w:sz w:val="22"/>
          <w:szCs w:val="22"/>
        </w:rPr>
        <w:t>t that</w:t>
      </w:r>
      <w:r w:rsidR="00FA423B" w:rsidRPr="00CE1271">
        <w:rPr>
          <w:sz w:val="22"/>
          <w:szCs w:val="22"/>
        </w:rPr>
        <w:t xml:space="preserve"> the data quality is crucially important to find out a structure-property relationship</w:t>
      </w:r>
      <w:r w:rsidR="006A2831" w:rsidRPr="00CE1271">
        <w:rPr>
          <w:sz w:val="22"/>
          <w:szCs w:val="22"/>
        </w:rPr>
        <w:t xml:space="preserve"> in electrochemistry.</w:t>
      </w:r>
      <w:r w:rsidR="00622984" w:rsidRPr="00CE1271">
        <w:rPr>
          <w:sz w:val="22"/>
          <w:szCs w:val="22"/>
        </w:rPr>
        <w:t xml:space="preserve"> </w:t>
      </w:r>
      <w:r w:rsidR="00F65A99" w:rsidRPr="00CE1271">
        <w:rPr>
          <w:sz w:val="22"/>
          <w:szCs w:val="22"/>
        </w:rPr>
        <w:t>I</w:t>
      </w:r>
      <w:r w:rsidR="00622984" w:rsidRPr="00CE1271">
        <w:rPr>
          <w:sz w:val="22"/>
          <w:szCs w:val="22"/>
        </w:rPr>
        <w:t>ssues</w:t>
      </w:r>
      <w:r w:rsidR="008C53FB" w:rsidRPr="00CE1271">
        <w:rPr>
          <w:sz w:val="22"/>
          <w:szCs w:val="22"/>
        </w:rPr>
        <w:t xml:space="preserve"> such as proper application of iR correction</w:t>
      </w:r>
      <w:r w:rsidR="00DD753B" w:rsidRPr="00CE1271">
        <w:rPr>
          <w:sz w:val="22"/>
          <w:szCs w:val="22"/>
          <w:vertAlign w:val="superscript"/>
        </w:rPr>
        <w:t>29</w:t>
      </w:r>
      <w:r w:rsidR="008C53FB" w:rsidRPr="00CE1271">
        <w:rPr>
          <w:sz w:val="22"/>
          <w:szCs w:val="22"/>
        </w:rPr>
        <w:t>, interpretation and estimation of catalyst durability</w:t>
      </w:r>
      <w:r w:rsidR="00DD753B" w:rsidRPr="00CE1271">
        <w:rPr>
          <w:sz w:val="22"/>
          <w:szCs w:val="22"/>
          <w:vertAlign w:val="superscript"/>
        </w:rPr>
        <w:t>30</w:t>
      </w:r>
      <w:r w:rsidR="00F50B43" w:rsidRPr="00CE1271">
        <w:rPr>
          <w:sz w:val="22"/>
          <w:szCs w:val="22"/>
          <w:vertAlign w:val="superscript"/>
        </w:rPr>
        <w:t>-32</w:t>
      </w:r>
      <w:r w:rsidR="008C53FB" w:rsidRPr="00CE1271">
        <w:rPr>
          <w:sz w:val="22"/>
          <w:szCs w:val="22"/>
        </w:rPr>
        <w:t xml:space="preserve"> and careless </w:t>
      </w:r>
      <w:r w:rsidR="00666C1A" w:rsidRPr="00CE1271">
        <w:rPr>
          <w:sz w:val="22"/>
          <w:szCs w:val="22"/>
        </w:rPr>
        <w:t>application</w:t>
      </w:r>
      <w:r w:rsidR="008C53FB" w:rsidRPr="00CE1271">
        <w:rPr>
          <w:sz w:val="22"/>
          <w:szCs w:val="22"/>
        </w:rPr>
        <w:t xml:space="preserve"> of the concept of electrochemically active surface area (ECSA)</w:t>
      </w:r>
      <w:r w:rsidR="00DD753B" w:rsidRPr="00CE1271">
        <w:rPr>
          <w:sz w:val="22"/>
          <w:szCs w:val="22"/>
          <w:vertAlign w:val="superscript"/>
        </w:rPr>
        <w:t>3</w:t>
      </w:r>
      <w:r w:rsidR="00F50B43" w:rsidRPr="00CE1271">
        <w:rPr>
          <w:sz w:val="22"/>
          <w:szCs w:val="22"/>
          <w:vertAlign w:val="superscript"/>
        </w:rPr>
        <w:t>3</w:t>
      </w:r>
      <w:r w:rsidR="00DD753B" w:rsidRPr="00CE1271">
        <w:rPr>
          <w:sz w:val="22"/>
          <w:szCs w:val="22"/>
          <w:vertAlign w:val="superscript"/>
        </w:rPr>
        <w:t>, 3</w:t>
      </w:r>
      <w:r w:rsidR="00F50B43" w:rsidRPr="00CE1271">
        <w:rPr>
          <w:sz w:val="22"/>
          <w:szCs w:val="22"/>
          <w:vertAlign w:val="superscript"/>
        </w:rPr>
        <w:t>4</w:t>
      </w:r>
      <w:r w:rsidR="008C53FB" w:rsidRPr="00CE1271">
        <w:rPr>
          <w:sz w:val="22"/>
          <w:szCs w:val="22"/>
        </w:rPr>
        <w:t xml:space="preserve"> have already been addressed in other works</w:t>
      </w:r>
      <w:r w:rsidR="00622984" w:rsidRPr="00CE1271">
        <w:rPr>
          <w:sz w:val="22"/>
          <w:szCs w:val="22"/>
        </w:rPr>
        <w:t>.</w:t>
      </w:r>
      <w:r w:rsidR="008D7B09" w:rsidRPr="00CE1271">
        <w:rPr>
          <w:sz w:val="22"/>
          <w:szCs w:val="22"/>
        </w:rPr>
        <w:t xml:space="preserve"> </w:t>
      </w:r>
      <w:r w:rsidR="00AF634B" w:rsidRPr="00CE1271">
        <w:rPr>
          <w:sz w:val="22"/>
          <w:szCs w:val="22"/>
        </w:rPr>
        <w:t>Thus, i</w:t>
      </w:r>
      <w:r w:rsidR="00622984" w:rsidRPr="00CE1271">
        <w:rPr>
          <w:sz w:val="22"/>
          <w:szCs w:val="22"/>
        </w:rPr>
        <w:t xml:space="preserve">n this </w:t>
      </w:r>
      <w:r w:rsidR="00465156" w:rsidRPr="00CE1271">
        <w:rPr>
          <w:rFonts w:hint="eastAsia"/>
          <w:sz w:val="22"/>
          <w:szCs w:val="22"/>
        </w:rPr>
        <w:t>Technical Note</w:t>
      </w:r>
      <w:r w:rsidR="00622984" w:rsidRPr="00CE1271">
        <w:rPr>
          <w:sz w:val="22"/>
          <w:szCs w:val="22"/>
        </w:rPr>
        <w:t xml:space="preserve">, </w:t>
      </w:r>
      <w:r w:rsidR="0016563D" w:rsidRPr="00CE1271">
        <w:rPr>
          <w:sz w:val="22"/>
          <w:szCs w:val="22"/>
        </w:rPr>
        <w:t xml:space="preserve">by employing </w:t>
      </w:r>
      <w:r w:rsidR="007C3C50" w:rsidRPr="00CE1271">
        <w:rPr>
          <w:sz w:val="22"/>
          <w:szCs w:val="22"/>
        </w:rPr>
        <w:t xml:space="preserve">OER electrocatalysts as a model system, </w:t>
      </w:r>
      <w:r w:rsidR="00622984" w:rsidRPr="00CE1271">
        <w:rPr>
          <w:sz w:val="22"/>
          <w:szCs w:val="22"/>
        </w:rPr>
        <w:t xml:space="preserve">we aim to offer guidance on what we believe to be the most correct way to implement </w:t>
      </w:r>
      <w:r w:rsidR="007C3C50" w:rsidRPr="00CE1271">
        <w:rPr>
          <w:sz w:val="22"/>
          <w:szCs w:val="22"/>
        </w:rPr>
        <w:t>BO-based data-driven</w:t>
      </w:r>
      <w:r w:rsidR="00622984" w:rsidRPr="00CE1271">
        <w:rPr>
          <w:sz w:val="22"/>
          <w:szCs w:val="22"/>
        </w:rPr>
        <w:t xml:space="preserve"> approaches for the exploration of massive experimental </w:t>
      </w:r>
      <w:r w:rsidR="00736F47" w:rsidRPr="00CE1271">
        <w:rPr>
          <w:sz w:val="22"/>
          <w:szCs w:val="22"/>
        </w:rPr>
        <w:t xml:space="preserve">material search </w:t>
      </w:r>
      <w:r w:rsidR="00622984" w:rsidRPr="00CE1271">
        <w:rPr>
          <w:sz w:val="22"/>
          <w:szCs w:val="22"/>
        </w:rPr>
        <w:t>spaces</w:t>
      </w:r>
      <w:r w:rsidR="00521064" w:rsidRPr="00CE1271">
        <w:rPr>
          <w:sz w:val="22"/>
          <w:szCs w:val="22"/>
        </w:rPr>
        <w:t>, h</w:t>
      </w:r>
      <w:r w:rsidR="00622984" w:rsidRPr="00CE1271">
        <w:rPr>
          <w:sz w:val="22"/>
          <w:szCs w:val="22"/>
        </w:rPr>
        <w:t xml:space="preserve">ighlighting </w:t>
      </w:r>
      <w:r w:rsidR="00027C34" w:rsidRPr="00CE1271">
        <w:rPr>
          <w:sz w:val="22"/>
          <w:szCs w:val="22"/>
        </w:rPr>
        <w:t xml:space="preserve">key </w:t>
      </w:r>
      <w:r w:rsidR="00622984" w:rsidRPr="00CE1271">
        <w:rPr>
          <w:sz w:val="22"/>
          <w:szCs w:val="22"/>
        </w:rPr>
        <w:t>pitfalls and problems</w:t>
      </w:r>
      <w:r w:rsidR="008D7B09" w:rsidRPr="00CE1271">
        <w:rPr>
          <w:sz w:val="22"/>
          <w:szCs w:val="22"/>
        </w:rPr>
        <w:t xml:space="preserve"> (Scheme 1)</w:t>
      </w:r>
      <w:r w:rsidR="00622984" w:rsidRPr="00CE1271">
        <w:rPr>
          <w:sz w:val="22"/>
          <w:szCs w:val="22"/>
        </w:rPr>
        <w:t>, as well providing advice on how to overcome or minimize them.</w:t>
      </w:r>
    </w:p>
    <w:p w14:paraId="2C3CF839" w14:textId="77777777" w:rsidR="00616516" w:rsidRPr="00CE1271" w:rsidRDefault="00616516" w:rsidP="000F1A8F">
      <w:pPr>
        <w:spacing w:line="480" w:lineRule="auto"/>
        <w:jc w:val="both"/>
        <w:rPr>
          <w:rFonts w:hint="eastAsia"/>
          <w:sz w:val="22"/>
          <w:szCs w:val="22"/>
        </w:rPr>
      </w:pPr>
    </w:p>
    <w:p w14:paraId="07765421" w14:textId="7612D9C0" w:rsidR="00D97687" w:rsidRPr="00CE1271" w:rsidRDefault="00667280" w:rsidP="0006557D">
      <w:pPr>
        <w:spacing w:line="480" w:lineRule="auto"/>
        <w:jc w:val="center"/>
        <w:rPr>
          <w:noProof/>
        </w:rPr>
      </w:pPr>
      <w:r w:rsidRPr="00CE1271">
        <w:rPr>
          <w:b/>
          <w:bCs/>
          <w:noProof/>
          <w:sz w:val="22"/>
          <w:szCs w:val="22"/>
        </w:rPr>
        <w:drawing>
          <wp:inline distT="0" distB="0" distL="0" distR="0" wp14:anchorId="7DCC8F07" wp14:editId="39D27615">
            <wp:extent cx="5612130" cy="3027045"/>
            <wp:effectExtent l="0" t="0" r="7620" b="1905"/>
            <wp:docPr id="468454250" name="Content Placeholder 6">
              <a:extLst xmlns:a="http://schemas.openxmlformats.org/drawingml/2006/main">
                <a:ext uri="{FF2B5EF4-FFF2-40B4-BE49-F238E27FC236}">
                  <a16:creationId xmlns:a16="http://schemas.microsoft.com/office/drawing/2014/main" id="{43B7E8FE-A88E-74CB-FDCC-A5DD678FCED7}"/>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7" name="Content Placeholder 6">
                      <a:extLst>
                        <a:ext uri="{FF2B5EF4-FFF2-40B4-BE49-F238E27FC236}">
                          <a16:creationId xmlns:a16="http://schemas.microsoft.com/office/drawing/2014/main" id="{43B7E8FE-A88E-74CB-FDCC-A5DD678FCED7}"/>
                        </a:ext>
                      </a:extLst>
                    </pic:cNvPr>
                    <pic:cNvPicPr>
                      <a:picLocks noGrp="1" noChangeAspect="1"/>
                    </pic:cNvPicPr>
                  </pic:nvPicPr>
                  <pic:blipFill>
                    <a:blip r:embed="rId9"/>
                    <a:stretch>
                      <a:fillRect/>
                    </a:stretch>
                  </pic:blipFill>
                  <pic:spPr>
                    <a:xfrm>
                      <a:off x="0" y="0"/>
                      <a:ext cx="5612130" cy="3027045"/>
                    </a:xfrm>
                    <a:prstGeom prst="rect">
                      <a:avLst/>
                    </a:prstGeom>
                  </pic:spPr>
                </pic:pic>
              </a:graphicData>
            </a:graphic>
          </wp:inline>
        </w:drawing>
      </w:r>
    </w:p>
    <w:p w14:paraId="36A738E0" w14:textId="784B0623" w:rsidR="00EC41DC" w:rsidRPr="005723DA" w:rsidRDefault="003D747E" w:rsidP="005723DA">
      <w:pPr>
        <w:spacing w:line="480" w:lineRule="auto"/>
        <w:jc w:val="both"/>
        <w:rPr>
          <w:sz w:val="22"/>
          <w:szCs w:val="22"/>
        </w:rPr>
      </w:pPr>
      <w:r w:rsidRPr="00CE1271">
        <w:rPr>
          <w:b/>
          <w:bCs/>
          <w:sz w:val="22"/>
          <w:szCs w:val="22"/>
        </w:rPr>
        <w:t>Scheme 1.</w:t>
      </w:r>
      <w:r w:rsidRPr="00CE1271">
        <w:rPr>
          <w:sz w:val="22"/>
          <w:szCs w:val="22"/>
        </w:rPr>
        <w:t xml:space="preserve"> Issues covered in this </w:t>
      </w:r>
      <w:r w:rsidRPr="00CE1271">
        <w:rPr>
          <w:rFonts w:hint="eastAsia"/>
          <w:sz w:val="22"/>
          <w:szCs w:val="22"/>
        </w:rPr>
        <w:t>Technical Note</w:t>
      </w:r>
      <w:r w:rsidRPr="00CE1271">
        <w:rPr>
          <w:sz w:val="22"/>
          <w:szCs w:val="22"/>
        </w:rPr>
        <w:t xml:space="preserve"> regarding data-driven synthesis and evaluation of OER electrocatalysts.</w:t>
      </w:r>
    </w:p>
    <w:p w14:paraId="65C717C1" w14:textId="77777777" w:rsidR="00616516" w:rsidRDefault="00616516" w:rsidP="000F1A8F">
      <w:pPr>
        <w:spacing w:line="480" w:lineRule="auto"/>
        <w:jc w:val="both"/>
        <w:rPr>
          <w:b/>
          <w:bCs/>
          <w:sz w:val="22"/>
          <w:szCs w:val="22"/>
        </w:rPr>
      </w:pPr>
    </w:p>
    <w:p w14:paraId="7BBDA9E7" w14:textId="3A0B7CFF" w:rsidR="00622984" w:rsidRPr="00CE1271" w:rsidRDefault="00622984" w:rsidP="000F1A8F">
      <w:pPr>
        <w:spacing w:line="480" w:lineRule="auto"/>
        <w:jc w:val="both"/>
        <w:rPr>
          <w:b/>
          <w:bCs/>
          <w:sz w:val="22"/>
          <w:szCs w:val="22"/>
        </w:rPr>
      </w:pPr>
      <w:r w:rsidRPr="00CE1271">
        <w:rPr>
          <w:b/>
          <w:bCs/>
          <w:sz w:val="22"/>
          <w:szCs w:val="22"/>
        </w:rPr>
        <w:t>Technical background</w:t>
      </w:r>
    </w:p>
    <w:p w14:paraId="0216F59F" w14:textId="1DC29C50" w:rsidR="00316C9A" w:rsidRPr="00CE1271" w:rsidRDefault="00316C9A" w:rsidP="000F1A8F">
      <w:pPr>
        <w:spacing w:line="480" w:lineRule="auto"/>
        <w:jc w:val="both"/>
        <w:rPr>
          <w:sz w:val="22"/>
          <w:szCs w:val="22"/>
        </w:rPr>
      </w:pPr>
      <w:r w:rsidRPr="00CE1271">
        <w:rPr>
          <w:sz w:val="22"/>
          <w:szCs w:val="22"/>
        </w:rPr>
        <w:t xml:space="preserve">In the context of the study of water splitting electrocatalysts, using a simple 3-electrode arrangement is most convenient </w:t>
      </w:r>
      <w:r w:rsidR="000C1E1A" w:rsidRPr="00CE1271">
        <w:rPr>
          <w:sz w:val="22"/>
          <w:szCs w:val="22"/>
        </w:rPr>
        <w:t>due to</w:t>
      </w:r>
      <w:r w:rsidRPr="00CE1271">
        <w:rPr>
          <w:sz w:val="22"/>
          <w:szCs w:val="22"/>
        </w:rPr>
        <w:t xml:space="preserve"> the ease with which the experimenter can test </w:t>
      </w:r>
      <w:r w:rsidR="00622984" w:rsidRPr="00CE1271">
        <w:rPr>
          <w:sz w:val="22"/>
          <w:szCs w:val="22"/>
        </w:rPr>
        <w:t>many</w:t>
      </w:r>
      <w:r w:rsidRPr="00CE1271">
        <w:rPr>
          <w:sz w:val="22"/>
          <w:szCs w:val="22"/>
        </w:rPr>
        <w:t xml:space="preserve"> electrocatalysts quickly</w:t>
      </w:r>
      <w:r w:rsidR="00F144C3" w:rsidRPr="00CE1271">
        <w:rPr>
          <w:sz w:val="22"/>
          <w:szCs w:val="22"/>
        </w:rPr>
        <w:t xml:space="preserve">. Although the conditions of this type of experiment are often touted not to be representative of large scale industrial electrolyzers, it remains a practical way to quickly </w:t>
      </w:r>
      <w:r w:rsidR="00622984" w:rsidRPr="00CE1271">
        <w:rPr>
          <w:sz w:val="22"/>
          <w:szCs w:val="22"/>
        </w:rPr>
        <w:t>screen</w:t>
      </w:r>
      <w:r w:rsidR="00F144C3" w:rsidRPr="00CE1271">
        <w:rPr>
          <w:sz w:val="22"/>
          <w:szCs w:val="22"/>
        </w:rPr>
        <w:t xml:space="preserve"> many electrocatalysts</w:t>
      </w:r>
      <w:r w:rsidR="00FE045D" w:rsidRPr="00CE1271">
        <w:rPr>
          <w:sz w:val="22"/>
          <w:szCs w:val="22"/>
        </w:rPr>
        <w:t>, which could then be further evaluated in more realistic conditions</w:t>
      </w:r>
      <w:r w:rsidR="00FA7F0B" w:rsidRPr="00CE1271">
        <w:rPr>
          <w:sz w:val="22"/>
          <w:szCs w:val="22"/>
        </w:rPr>
        <w:t xml:space="preserve"> </w:t>
      </w:r>
      <w:r w:rsidR="000C1E1A" w:rsidRPr="00CE1271">
        <w:rPr>
          <w:sz w:val="22"/>
          <w:szCs w:val="22"/>
        </w:rPr>
        <w:t>on an industrial</w:t>
      </w:r>
      <w:r w:rsidR="00FA7F0B" w:rsidRPr="00CE1271">
        <w:rPr>
          <w:sz w:val="22"/>
          <w:szCs w:val="22"/>
        </w:rPr>
        <w:t xml:space="preserve"> level</w:t>
      </w:r>
      <w:r w:rsidR="00F144C3" w:rsidRPr="00CE1271">
        <w:rPr>
          <w:sz w:val="22"/>
          <w:szCs w:val="22"/>
        </w:rPr>
        <w:t>. In terms of the composition of the working electrode, geometrically well-defined</w:t>
      </w:r>
      <w:r w:rsidR="00622984" w:rsidRPr="00CE1271">
        <w:rPr>
          <w:sz w:val="22"/>
          <w:szCs w:val="22"/>
        </w:rPr>
        <w:t>, flat,</w:t>
      </w:r>
      <w:r w:rsidR="00F144C3" w:rsidRPr="00CE1271">
        <w:rPr>
          <w:sz w:val="22"/>
          <w:szCs w:val="22"/>
        </w:rPr>
        <w:t xml:space="preserve"> conducting substrates such as etched Titanium</w:t>
      </w:r>
      <w:r w:rsidR="00622984" w:rsidRPr="00CE1271">
        <w:rPr>
          <w:sz w:val="22"/>
          <w:szCs w:val="22"/>
        </w:rPr>
        <w:t xml:space="preserve"> are used for ease of current normalization and lack of contribution to current</w:t>
      </w:r>
      <w:r w:rsidR="00F144C3" w:rsidRPr="00CE1271">
        <w:rPr>
          <w:sz w:val="22"/>
          <w:szCs w:val="22"/>
        </w:rPr>
        <w:t xml:space="preserve">. The </w:t>
      </w:r>
      <w:r w:rsidR="00622984" w:rsidRPr="00CE1271">
        <w:rPr>
          <w:sz w:val="22"/>
          <w:szCs w:val="22"/>
        </w:rPr>
        <w:lastRenderedPageBreak/>
        <w:t>electro</w:t>
      </w:r>
      <w:r w:rsidR="00F144C3" w:rsidRPr="00CE1271">
        <w:rPr>
          <w:sz w:val="22"/>
          <w:szCs w:val="22"/>
        </w:rPr>
        <w:t xml:space="preserve">catalytically active phase of the working electrode is deposited through drop casting of catalyst ink or precursor salt solutions of the species of interest. </w:t>
      </w:r>
    </w:p>
    <w:p w14:paraId="40A7E7D6" w14:textId="56F99C24" w:rsidR="007E0EBE" w:rsidRPr="00CE1271" w:rsidRDefault="00FE045D" w:rsidP="000F1A8F">
      <w:pPr>
        <w:spacing w:line="480" w:lineRule="auto"/>
        <w:jc w:val="both"/>
        <w:rPr>
          <w:sz w:val="22"/>
          <w:szCs w:val="22"/>
        </w:rPr>
      </w:pPr>
      <w:r w:rsidRPr="00CE1271">
        <w:rPr>
          <w:sz w:val="22"/>
          <w:szCs w:val="22"/>
        </w:rPr>
        <w:t xml:space="preserve">Regarding the human-in-the-loop approach, its most basic form </w:t>
      </w:r>
      <w:r w:rsidR="007F69CE" w:rsidRPr="00CE1271">
        <w:rPr>
          <w:sz w:val="22"/>
          <w:szCs w:val="22"/>
        </w:rPr>
        <w:t xml:space="preserve">is </w:t>
      </w:r>
      <w:r w:rsidRPr="00CE1271">
        <w:rPr>
          <w:sz w:val="22"/>
          <w:szCs w:val="22"/>
        </w:rPr>
        <w:t xml:space="preserve">illustrated in Figure 1 a), </w:t>
      </w:r>
      <w:r w:rsidR="0019076B" w:rsidRPr="00CE1271">
        <w:rPr>
          <w:sz w:val="22"/>
          <w:szCs w:val="22"/>
        </w:rPr>
        <w:t>where</w:t>
      </w:r>
      <w:r w:rsidRPr="00CE1271">
        <w:rPr>
          <w:sz w:val="22"/>
          <w:szCs w:val="22"/>
        </w:rPr>
        <w:t xml:space="preserve"> once a</w:t>
      </w:r>
      <w:r w:rsidR="00D61075" w:rsidRPr="00CE1271">
        <w:rPr>
          <w:sz w:val="22"/>
          <w:szCs w:val="22"/>
        </w:rPr>
        <w:t>n</w:t>
      </w:r>
      <w:r w:rsidRPr="00CE1271">
        <w:rPr>
          <w:sz w:val="22"/>
          <w:szCs w:val="22"/>
        </w:rPr>
        <w:t xml:space="preserve"> experimental space has been defined, synthesis, evaluation and data integration and synthesis recommendation are carried out cyclically until results of interest have been found, or the metric of interest no longer shows improvement after repeated cycles</w:t>
      </w:r>
      <w:r w:rsidR="00435988" w:rsidRPr="00CE1271">
        <w:rPr>
          <w:sz w:val="22"/>
          <w:szCs w:val="22"/>
          <w:vertAlign w:val="superscript"/>
        </w:rPr>
        <w:t>9</w:t>
      </w:r>
      <w:r w:rsidRPr="00CE1271">
        <w:rPr>
          <w:sz w:val="22"/>
          <w:szCs w:val="22"/>
        </w:rPr>
        <w:t xml:space="preserve">. In Figure </w:t>
      </w:r>
      <w:r w:rsidR="009C738E" w:rsidRPr="00CE1271">
        <w:rPr>
          <w:sz w:val="22"/>
          <w:szCs w:val="22"/>
        </w:rPr>
        <w:t xml:space="preserve">1 </w:t>
      </w:r>
      <w:r w:rsidRPr="00CE1271">
        <w:rPr>
          <w:sz w:val="22"/>
          <w:szCs w:val="22"/>
        </w:rPr>
        <w:t xml:space="preserve">b) we emphasize the critical importance of understanding the </w:t>
      </w:r>
      <w:r w:rsidR="000A7DFD" w:rsidRPr="00CE1271">
        <w:rPr>
          <w:sz w:val="22"/>
          <w:szCs w:val="22"/>
        </w:rPr>
        <w:t>difference between the “</w:t>
      </w:r>
      <w:r w:rsidR="00DF4332" w:rsidRPr="00CE1271">
        <w:rPr>
          <w:sz w:val="22"/>
          <w:szCs w:val="22"/>
        </w:rPr>
        <w:t>material space</w:t>
      </w:r>
      <w:r w:rsidR="000A7DFD" w:rsidRPr="00CE1271">
        <w:rPr>
          <w:sz w:val="22"/>
          <w:szCs w:val="22"/>
        </w:rPr>
        <w:t xml:space="preserve">” of the experimental </w:t>
      </w:r>
      <w:r w:rsidR="00630042" w:rsidRPr="00CE1271">
        <w:rPr>
          <w:sz w:val="22"/>
          <w:szCs w:val="22"/>
        </w:rPr>
        <w:t xml:space="preserve">space </w:t>
      </w:r>
      <w:r w:rsidR="000A7DFD" w:rsidRPr="00CE1271">
        <w:rPr>
          <w:sz w:val="22"/>
          <w:szCs w:val="22"/>
        </w:rPr>
        <w:t>and the “</w:t>
      </w:r>
      <w:r w:rsidR="00DF4332" w:rsidRPr="00CE1271">
        <w:rPr>
          <w:sz w:val="22"/>
          <w:szCs w:val="22"/>
        </w:rPr>
        <w:t>electrochemical space</w:t>
      </w:r>
      <w:r w:rsidR="000A7DFD" w:rsidRPr="00CE1271">
        <w:rPr>
          <w:sz w:val="22"/>
          <w:szCs w:val="22"/>
        </w:rPr>
        <w:t xml:space="preserve">”. The </w:t>
      </w:r>
      <w:r w:rsidR="00DF4332" w:rsidRPr="00CE1271">
        <w:rPr>
          <w:sz w:val="22"/>
          <w:szCs w:val="22"/>
        </w:rPr>
        <w:t>material space</w:t>
      </w:r>
      <w:r w:rsidR="000A7DFD" w:rsidRPr="00CE1271">
        <w:rPr>
          <w:sz w:val="22"/>
          <w:szCs w:val="22"/>
        </w:rPr>
        <w:t xml:space="preserve"> in this context refers to the reagents and synthesis conditions used to synthesize new OER electrocatalysts, which can be described with symbols (such as element symbols, or chemical formulas), synthesis conditions (catalyst deposition method, sample treatment) and reaction conditions (temperature, stirring, choice of electrolyte, pH)</w:t>
      </w:r>
      <w:r w:rsidR="005E755A" w:rsidRPr="00CE1271">
        <w:rPr>
          <w:sz w:val="22"/>
          <w:szCs w:val="22"/>
        </w:rPr>
        <w:t>, and are machine-readable</w:t>
      </w:r>
      <w:r w:rsidR="000A7DFD" w:rsidRPr="00CE1271">
        <w:rPr>
          <w:sz w:val="22"/>
          <w:szCs w:val="22"/>
        </w:rPr>
        <w:t xml:space="preserve">. The values and symbols that constitute this </w:t>
      </w:r>
      <w:r w:rsidR="00DF4332" w:rsidRPr="00CE1271">
        <w:rPr>
          <w:sz w:val="22"/>
          <w:szCs w:val="22"/>
        </w:rPr>
        <w:t>material space</w:t>
      </w:r>
      <w:r w:rsidR="000A7DFD" w:rsidRPr="00CE1271">
        <w:rPr>
          <w:sz w:val="22"/>
          <w:szCs w:val="22"/>
        </w:rPr>
        <w:t xml:space="preserve"> should ideally be closely correlated with the optimization target (usually overpotential and durability, in this case). However, due to the complex phenomena that may take place both during synthesis and testing of the electrocatalyst, it will often be the case that the variables in </w:t>
      </w:r>
      <w:r w:rsidR="007724F9" w:rsidRPr="00CE1271">
        <w:rPr>
          <w:sz w:val="22"/>
          <w:szCs w:val="22"/>
        </w:rPr>
        <w:t>a</w:t>
      </w:r>
      <w:r w:rsidR="00F1304C" w:rsidRPr="00CE1271">
        <w:rPr>
          <w:sz w:val="22"/>
          <w:szCs w:val="22"/>
        </w:rPr>
        <w:t>n</w:t>
      </w:r>
      <w:r w:rsidR="007724F9" w:rsidRPr="00CE1271">
        <w:rPr>
          <w:sz w:val="22"/>
          <w:szCs w:val="22"/>
        </w:rPr>
        <w:t xml:space="preserve"> </w:t>
      </w:r>
      <w:r w:rsidR="00F1304C" w:rsidRPr="00CE1271">
        <w:rPr>
          <w:sz w:val="22"/>
          <w:szCs w:val="22"/>
        </w:rPr>
        <w:t xml:space="preserve">electrochemical </w:t>
      </w:r>
      <w:r w:rsidR="000A7DFD" w:rsidRPr="00CE1271">
        <w:rPr>
          <w:sz w:val="22"/>
          <w:szCs w:val="22"/>
        </w:rPr>
        <w:t>experimental design w</w:t>
      </w:r>
      <w:r w:rsidR="00F479CF" w:rsidRPr="00CE1271">
        <w:rPr>
          <w:sz w:val="22"/>
          <w:szCs w:val="22"/>
        </w:rPr>
        <w:t>ould</w:t>
      </w:r>
      <w:r w:rsidR="000A7DFD" w:rsidRPr="00CE1271">
        <w:rPr>
          <w:sz w:val="22"/>
          <w:szCs w:val="22"/>
        </w:rPr>
        <w:t xml:space="preserve"> not be perfectly (or strongly) </w:t>
      </w:r>
      <w:r w:rsidR="000C1E1A" w:rsidRPr="00CE1271">
        <w:rPr>
          <w:sz w:val="22"/>
          <w:szCs w:val="22"/>
        </w:rPr>
        <w:t>correlated</w:t>
      </w:r>
      <w:r w:rsidR="000A7DFD" w:rsidRPr="00CE1271">
        <w:rPr>
          <w:sz w:val="22"/>
          <w:szCs w:val="22"/>
        </w:rPr>
        <w:t xml:space="preserve"> with the target</w:t>
      </w:r>
      <w:r w:rsidR="00F479CF" w:rsidRPr="00CE1271">
        <w:rPr>
          <w:sz w:val="22"/>
          <w:szCs w:val="22"/>
        </w:rPr>
        <w:t xml:space="preserve"> to be</w:t>
      </w:r>
      <w:r w:rsidR="00DE09E5" w:rsidRPr="00CE1271">
        <w:rPr>
          <w:sz w:val="22"/>
          <w:szCs w:val="22"/>
        </w:rPr>
        <w:t xml:space="preserve"> optimized. </w:t>
      </w:r>
      <w:r w:rsidR="000B774E" w:rsidRPr="00CE1271">
        <w:rPr>
          <w:sz w:val="22"/>
          <w:szCs w:val="22"/>
        </w:rPr>
        <w:t xml:space="preserve">In addition, experimental variables do not have </w:t>
      </w:r>
      <w:r w:rsidR="000A7DFD" w:rsidRPr="00CE1271">
        <w:rPr>
          <w:sz w:val="22"/>
          <w:szCs w:val="22"/>
        </w:rPr>
        <w:t>deep explanative power</w:t>
      </w:r>
      <w:r w:rsidR="00014E8A" w:rsidRPr="00CE1271">
        <w:rPr>
          <w:sz w:val="22"/>
          <w:szCs w:val="22"/>
        </w:rPr>
        <w:t xml:space="preserve"> </w:t>
      </w:r>
      <w:r w:rsidR="000B774E" w:rsidRPr="00CE1271">
        <w:rPr>
          <w:sz w:val="22"/>
          <w:szCs w:val="22"/>
        </w:rPr>
        <w:t>by themselves</w:t>
      </w:r>
      <w:r w:rsidR="0006515C" w:rsidRPr="00CE1271">
        <w:rPr>
          <w:sz w:val="22"/>
          <w:szCs w:val="22"/>
        </w:rPr>
        <w:t>, especially when it comes to catalyst composition</w:t>
      </w:r>
      <w:r w:rsidR="000A7DFD" w:rsidRPr="00CE1271">
        <w:rPr>
          <w:sz w:val="22"/>
          <w:szCs w:val="22"/>
        </w:rPr>
        <w:t xml:space="preserve">. The </w:t>
      </w:r>
      <w:r w:rsidR="00576B24" w:rsidRPr="00CE1271">
        <w:rPr>
          <w:sz w:val="22"/>
          <w:szCs w:val="22"/>
        </w:rPr>
        <w:t>“</w:t>
      </w:r>
      <w:r w:rsidR="00DF4332" w:rsidRPr="00CE1271">
        <w:rPr>
          <w:sz w:val="22"/>
          <w:szCs w:val="22"/>
        </w:rPr>
        <w:t>electrochemical space</w:t>
      </w:r>
      <w:r w:rsidR="00576B24" w:rsidRPr="00CE1271">
        <w:rPr>
          <w:sz w:val="22"/>
          <w:szCs w:val="22"/>
        </w:rPr>
        <w:t>”</w:t>
      </w:r>
      <w:r w:rsidR="000A7DFD" w:rsidRPr="00CE1271">
        <w:rPr>
          <w:sz w:val="22"/>
          <w:szCs w:val="22"/>
        </w:rPr>
        <w:t xml:space="preserve"> consists of those metrics or measurable properties that know are causative and can explain the electrochemical behaviors observed, examples include: ECSA, active site identity, </w:t>
      </w:r>
      <w:r w:rsidR="005E755A" w:rsidRPr="00CE1271">
        <w:rPr>
          <w:sz w:val="22"/>
          <w:szCs w:val="22"/>
        </w:rPr>
        <w:t>impedance</w:t>
      </w:r>
      <w:r w:rsidR="00D61075" w:rsidRPr="00CE1271">
        <w:rPr>
          <w:sz w:val="22"/>
          <w:szCs w:val="22"/>
        </w:rPr>
        <w:t xml:space="preserve">, </w:t>
      </w:r>
      <w:r w:rsidR="000A7DFD" w:rsidRPr="00CE1271">
        <w:rPr>
          <w:sz w:val="22"/>
          <w:szCs w:val="22"/>
        </w:rPr>
        <w:t>adsorption energies</w:t>
      </w:r>
      <w:r w:rsidR="00D61075" w:rsidRPr="00CE1271">
        <w:rPr>
          <w:sz w:val="22"/>
          <w:szCs w:val="22"/>
        </w:rPr>
        <w:t xml:space="preserve">, textural and pore properties. </w:t>
      </w:r>
      <w:r w:rsidR="000A7DFD" w:rsidRPr="00CE1271">
        <w:rPr>
          <w:sz w:val="22"/>
          <w:szCs w:val="22"/>
        </w:rPr>
        <w:t xml:space="preserve"> </w:t>
      </w:r>
      <w:r w:rsidR="00D61075" w:rsidRPr="00CE1271">
        <w:rPr>
          <w:sz w:val="22"/>
          <w:szCs w:val="22"/>
        </w:rPr>
        <w:t xml:space="preserve">An overlap or correlation between these two </w:t>
      </w:r>
      <w:r w:rsidR="00DF4332" w:rsidRPr="00CE1271">
        <w:rPr>
          <w:sz w:val="22"/>
          <w:szCs w:val="22"/>
        </w:rPr>
        <w:t xml:space="preserve">spaces </w:t>
      </w:r>
      <w:r w:rsidR="00D61075" w:rsidRPr="00CE1271">
        <w:rPr>
          <w:sz w:val="22"/>
          <w:szCs w:val="22"/>
        </w:rPr>
        <w:t xml:space="preserve">allows for the creation of meaningful, well-defined hypotheses that can be tested, and </w:t>
      </w:r>
      <w:r w:rsidR="000C1E1A" w:rsidRPr="00CE1271">
        <w:rPr>
          <w:sz w:val="22"/>
          <w:szCs w:val="22"/>
        </w:rPr>
        <w:t>aids</w:t>
      </w:r>
      <w:r w:rsidR="00D61075" w:rsidRPr="00CE1271">
        <w:rPr>
          <w:sz w:val="22"/>
          <w:szCs w:val="22"/>
        </w:rPr>
        <w:t xml:space="preserve"> in finding mechanistic explanations to the performance of the </w:t>
      </w:r>
      <w:proofErr w:type="gramStart"/>
      <w:r w:rsidR="00D61075" w:rsidRPr="00CE1271">
        <w:rPr>
          <w:sz w:val="22"/>
          <w:szCs w:val="22"/>
        </w:rPr>
        <w:t>electrocatalysts</w:t>
      </w:r>
      <w:proofErr w:type="gramEnd"/>
      <w:r w:rsidR="00D61075" w:rsidRPr="00CE1271">
        <w:rPr>
          <w:sz w:val="22"/>
          <w:szCs w:val="22"/>
        </w:rPr>
        <w:t xml:space="preserve"> performance. </w:t>
      </w:r>
      <w:r w:rsidR="00DF4332" w:rsidRPr="00CE1271">
        <w:rPr>
          <w:sz w:val="22"/>
          <w:szCs w:val="22"/>
        </w:rPr>
        <w:t>This is true for all data-driven human-in-the-loop approaches, whether they involve ML or BO.</w:t>
      </w:r>
    </w:p>
    <w:p w14:paraId="5482CF81" w14:textId="40E7F82E" w:rsidR="007B71E9" w:rsidRPr="00CE1271" w:rsidRDefault="007B71E9" w:rsidP="000F1A8F">
      <w:pPr>
        <w:spacing w:line="480" w:lineRule="auto"/>
        <w:jc w:val="both"/>
        <w:rPr>
          <w:rFonts w:hint="eastAsia"/>
          <w:sz w:val="22"/>
          <w:szCs w:val="22"/>
        </w:rPr>
      </w:pPr>
    </w:p>
    <w:p w14:paraId="394CB5C4" w14:textId="2EA3DF05" w:rsidR="00B21455" w:rsidRPr="00CE1271" w:rsidRDefault="00FF7740" w:rsidP="00CE1271">
      <w:pPr>
        <w:spacing w:line="480" w:lineRule="auto"/>
        <w:jc w:val="center"/>
        <w:rPr>
          <w:sz w:val="22"/>
          <w:szCs w:val="22"/>
        </w:rPr>
      </w:pPr>
      <w:r w:rsidRPr="00CE1271">
        <w:rPr>
          <w:noProof/>
          <w:sz w:val="22"/>
          <w:szCs w:val="22"/>
        </w:rPr>
        <w:drawing>
          <wp:inline distT="0" distB="0" distL="0" distR="0" wp14:anchorId="6737642F" wp14:editId="2C429835">
            <wp:extent cx="6117336" cy="2514600"/>
            <wp:effectExtent l="0" t="0" r="0" b="0"/>
            <wp:docPr id="21141701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17336" cy="2514600"/>
                    </a:xfrm>
                    <a:prstGeom prst="rect">
                      <a:avLst/>
                    </a:prstGeom>
                    <a:noFill/>
                  </pic:spPr>
                </pic:pic>
              </a:graphicData>
            </a:graphic>
          </wp:inline>
        </w:drawing>
      </w:r>
    </w:p>
    <w:p w14:paraId="65B61587" w14:textId="7137705C" w:rsidR="00EC41DC" w:rsidRPr="00CE1271" w:rsidRDefault="007B71E9" w:rsidP="000F1A8F">
      <w:pPr>
        <w:spacing w:line="480" w:lineRule="auto"/>
        <w:jc w:val="both"/>
        <w:rPr>
          <w:sz w:val="22"/>
          <w:szCs w:val="22"/>
        </w:rPr>
      </w:pPr>
      <w:r w:rsidRPr="00CE1271">
        <w:rPr>
          <w:b/>
          <w:bCs/>
          <w:sz w:val="22"/>
          <w:szCs w:val="22"/>
        </w:rPr>
        <w:t>Figure 1.</w:t>
      </w:r>
      <w:r w:rsidRPr="00CE1271">
        <w:rPr>
          <w:sz w:val="22"/>
          <w:szCs w:val="22"/>
        </w:rPr>
        <w:t xml:space="preserve"> </w:t>
      </w:r>
      <w:r w:rsidR="00FE3C5D" w:rsidRPr="00CE1271">
        <w:rPr>
          <w:sz w:val="22"/>
          <w:szCs w:val="22"/>
        </w:rPr>
        <w:t>a)</w:t>
      </w:r>
      <w:r w:rsidR="00FE3C5D" w:rsidRPr="00CE1271">
        <w:rPr>
          <w:b/>
          <w:bCs/>
          <w:sz w:val="22"/>
          <w:szCs w:val="22"/>
        </w:rPr>
        <w:t xml:space="preserve"> </w:t>
      </w:r>
      <w:r w:rsidRPr="00CE1271">
        <w:rPr>
          <w:sz w:val="22"/>
          <w:szCs w:val="22"/>
        </w:rPr>
        <w:t>Representation of human-in-the-loop data science and experimentation approach</w:t>
      </w:r>
      <w:r w:rsidR="000F7ABA" w:rsidRPr="00CE1271">
        <w:rPr>
          <w:sz w:val="22"/>
          <w:szCs w:val="22"/>
        </w:rPr>
        <w:t xml:space="preserve">, where once </w:t>
      </w:r>
      <w:r w:rsidR="00B44160" w:rsidRPr="00CE1271">
        <w:rPr>
          <w:sz w:val="22"/>
          <w:szCs w:val="22"/>
        </w:rPr>
        <w:t>an</w:t>
      </w:r>
      <w:r w:rsidR="000F7ABA" w:rsidRPr="00CE1271">
        <w:rPr>
          <w:sz w:val="22"/>
          <w:szCs w:val="22"/>
        </w:rPr>
        <w:t xml:space="preserve"> experimental space has been defined, electrocatalyst synthesis and evaluation are carried out in succession, then, metrics obtained from this experimental component are used to further suggest promising new experimental conditions.</w:t>
      </w:r>
      <w:r w:rsidRPr="00CE1271">
        <w:rPr>
          <w:sz w:val="22"/>
          <w:szCs w:val="22"/>
        </w:rPr>
        <w:t xml:space="preserve"> </w:t>
      </w:r>
      <w:r w:rsidR="00FE3C5D" w:rsidRPr="00CE1271">
        <w:rPr>
          <w:sz w:val="22"/>
          <w:szCs w:val="22"/>
        </w:rPr>
        <w:t xml:space="preserve">b) Relationship between experimental design and the measurable properties it should translate into. </w:t>
      </w:r>
    </w:p>
    <w:p w14:paraId="6F02A40D" w14:textId="77777777" w:rsidR="00616516" w:rsidRDefault="00616516" w:rsidP="000F1A8F">
      <w:pPr>
        <w:spacing w:line="480" w:lineRule="auto"/>
        <w:jc w:val="both"/>
        <w:rPr>
          <w:b/>
          <w:bCs/>
          <w:sz w:val="22"/>
          <w:szCs w:val="22"/>
        </w:rPr>
      </w:pPr>
      <w:bookmarkStart w:id="2" w:name="_Hlk189035174"/>
    </w:p>
    <w:p w14:paraId="1212C28C" w14:textId="42165D35" w:rsidR="00DB1538" w:rsidRPr="00CE1271" w:rsidRDefault="00DB1538" w:rsidP="000F1A8F">
      <w:pPr>
        <w:spacing w:line="480" w:lineRule="auto"/>
        <w:jc w:val="both"/>
        <w:rPr>
          <w:b/>
          <w:bCs/>
          <w:sz w:val="22"/>
          <w:szCs w:val="22"/>
        </w:rPr>
      </w:pPr>
      <w:r w:rsidRPr="00CE1271">
        <w:rPr>
          <w:b/>
          <w:bCs/>
          <w:sz w:val="22"/>
          <w:szCs w:val="22"/>
        </w:rPr>
        <w:t>Bulk vs surface properties and how optimization for surface can be misleading</w:t>
      </w:r>
    </w:p>
    <w:bookmarkEnd w:id="2"/>
    <w:p w14:paraId="74BE2869" w14:textId="49214DCD" w:rsidR="00DB1538" w:rsidRPr="00CE1271" w:rsidRDefault="00DB1538" w:rsidP="000F1A8F">
      <w:pPr>
        <w:spacing w:line="480" w:lineRule="auto"/>
        <w:jc w:val="both"/>
        <w:rPr>
          <w:sz w:val="22"/>
          <w:szCs w:val="22"/>
        </w:rPr>
      </w:pPr>
      <w:r w:rsidRPr="00CE1271">
        <w:rPr>
          <w:sz w:val="22"/>
          <w:szCs w:val="22"/>
        </w:rPr>
        <w:t xml:space="preserve">We present the following experimental data to exemplify how </w:t>
      </w:r>
      <w:r w:rsidR="0006515C" w:rsidRPr="00CE1271">
        <w:rPr>
          <w:sz w:val="22"/>
          <w:szCs w:val="22"/>
        </w:rPr>
        <w:t xml:space="preserve">ill-conceived </w:t>
      </w:r>
      <w:r w:rsidRPr="00CE1271">
        <w:rPr>
          <w:sz w:val="22"/>
          <w:szCs w:val="22"/>
        </w:rPr>
        <w:t>selection of optimization metrics when studying electrocatalysts can lead to misleading results. Initially, we proposed stacking 14 layers of</w:t>
      </w:r>
      <w:r w:rsidR="003F45EC" w:rsidRPr="00CE1271">
        <w:rPr>
          <w:sz w:val="22"/>
          <w:szCs w:val="22"/>
        </w:rPr>
        <w:t xml:space="preserve"> ruthenium oxide</w:t>
      </w:r>
      <w:r w:rsidRPr="00CE1271">
        <w:rPr>
          <w:sz w:val="22"/>
          <w:szCs w:val="22"/>
        </w:rPr>
        <w:t xml:space="preserve"> </w:t>
      </w:r>
      <w:r w:rsidR="003F45EC" w:rsidRPr="00CE1271">
        <w:rPr>
          <w:sz w:val="22"/>
          <w:szCs w:val="22"/>
        </w:rPr>
        <w:t>(</w:t>
      </w:r>
      <w:proofErr w:type="spellStart"/>
      <w:r w:rsidRPr="00CE1271">
        <w:rPr>
          <w:sz w:val="22"/>
          <w:szCs w:val="22"/>
        </w:rPr>
        <w:t>RuO</w:t>
      </w:r>
      <w:r w:rsidRPr="00CE1271">
        <w:rPr>
          <w:sz w:val="22"/>
          <w:szCs w:val="22"/>
          <w:vertAlign w:val="subscript"/>
        </w:rPr>
        <w:t>x</w:t>
      </w:r>
      <w:proofErr w:type="spellEnd"/>
      <w:r w:rsidR="003F45EC" w:rsidRPr="00CE1271">
        <w:rPr>
          <w:sz w:val="22"/>
          <w:szCs w:val="22"/>
        </w:rPr>
        <w:t>)</w:t>
      </w:r>
      <w:r w:rsidRPr="00CE1271">
        <w:rPr>
          <w:sz w:val="22"/>
          <w:szCs w:val="22"/>
        </w:rPr>
        <w:t xml:space="preserve"> on a </w:t>
      </w:r>
      <w:r w:rsidR="008D4F0F" w:rsidRPr="00CE1271">
        <w:rPr>
          <w:sz w:val="22"/>
          <w:szCs w:val="22"/>
        </w:rPr>
        <w:t>T</w:t>
      </w:r>
      <w:r w:rsidRPr="00CE1271">
        <w:rPr>
          <w:sz w:val="22"/>
          <w:szCs w:val="22"/>
        </w:rPr>
        <w:t>itanium substrate, then</w:t>
      </w:r>
      <w:r w:rsidR="00DB1AE2" w:rsidRPr="00CE1271">
        <w:rPr>
          <w:sz w:val="22"/>
          <w:szCs w:val="22"/>
        </w:rPr>
        <w:t xml:space="preserve">, </w:t>
      </w:r>
      <w:r w:rsidRPr="00CE1271">
        <w:rPr>
          <w:sz w:val="22"/>
          <w:szCs w:val="22"/>
        </w:rPr>
        <w:t>depositing 6 layers of a combination of 5 different transition metals</w:t>
      </w:r>
      <w:r w:rsidR="007E5653" w:rsidRPr="00CE1271">
        <w:rPr>
          <w:sz w:val="22"/>
          <w:szCs w:val="22"/>
        </w:rPr>
        <w:t xml:space="preserve"> in equimolar proportion</w:t>
      </w:r>
      <w:r w:rsidR="005E755A" w:rsidRPr="00CE1271">
        <w:rPr>
          <w:sz w:val="22"/>
          <w:szCs w:val="22"/>
        </w:rPr>
        <w:t xml:space="preserve"> (</w:t>
      </w:r>
      <w:r w:rsidR="00127969" w:rsidRPr="00CE1271">
        <w:rPr>
          <w:sz w:val="22"/>
          <w:szCs w:val="22"/>
        </w:rPr>
        <w:t xml:space="preserve">among: </w:t>
      </w:r>
      <w:r w:rsidR="003F45EC" w:rsidRPr="00CE1271">
        <w:rPr>
          <w:sz w:val="22"/>
          <w:szCs w:val="22"/>
        </w:rPr>
        <w:t>Sc, Ti, V, Cr, Mn, Fe, Co, Ni, Cu, Zn, Sr, Y, Zr, Nb, Mo, Ag, Hf, Ta, W, Au)</w:t>
      </w:r>
      <w:r w:rsidRPr="00CE1271">
        <w:rPr>
          <w:sz w:val="22"/>
          <w:szCs w:val="22"/>
        </w:rPr>
        <w:t xml:space="preserve">, forming a protective layer structure that would </w:t>
      </w:r>
      <w:r w:rsidRPr="00CE1271">
        <w:rPr>
          <w:sz w:val="22"/>
          <w:szCs w:val="22"/>
        </w:rPr>
        <w:lastRenderedPageBreak/>
        <w:t xml:space="preserve">increase durability of </w:t>
      </w:r>
      <w:proofErr w:type="spellStart"/>
      <w:r w:rsidRPr="00CE1271">
        <w:rPr>
          <w:sz w:val="22"/>
          <w:szCs w:val="22"/>
        </w:rPr>
        <w:t>RuO</w:t>
      </w:r>
      <w:r w:rsidRPr="00CE1271">
        <w:rPr>
          <w:sz w:val="22"/>
          <w:szCs w:val="22"/>
          <w:vertAlign w:val="subscript"/>
        </w:rPr>
        <w:t>x</w:t>
      </w:r>
      <w:proofErr w:type="spellEnd"/>
      <w:r w:rsidRPr="00CE1271">
        <w:rPr>
          <w:sz w:val="22"/>
          <w:szCs w:val="22"/>
        </w:rPr>
        <w:t xml:space="preserve"> and find lower overpotentials.</w:t>
      </w:r>
      <w:r w:rsidR="007E5653" w:rsidRPr="00CE1271">
        <w:rPr>
          <w:sz w:val="22"/>
          <w:szCs w:val="22"/>
        </w:rPr>
        <w:t xml:space="preserve"> This proposed experimental space includes 15504 possible candidates. </w:t>
      </w:r>
    </w:p>
    <w:p w14:paraId="3E212849" w14:textId="04F1DC77" w:rsidR="00DB1538" w:rsidRPr="00CE1271" w:rsidRDefault="00DB1538" w:rsidP="000F1A8F">
      <w:pPr>
        <w:spacing w:line="480" w:lineRule="auto"/>
        <w:jc w:val="both"/>
        <w:rPr>
          <w:sz w:val="22"/>
          <w:szCs w:val="22"/>
        </w:rPr>
      </w:pPr>
      <w:r w:rsidRPr="00CE1271">
        <w:rPr>
          <w:sz w:val="22"/>
          <w:szCs w:val="22"/>
        </w:rPr>
        <w:t xml:space="preserve">Initially, 8 electrocatalysts with random elemental compositions </w:t>
      </w:r>
      <w:r w:rsidR="000C1E1A" w:rsidRPr="00CE1271">
        <w:rPr>
          <w:sz w:val="22"/>
          <w:szCs w:val="22"/>
        </w:rPr>
        <w:t>were</w:t>
      </w:r>
      <w:r w:rsidRPr="00CE1271">
        <w:rPr>
          <w:sz w:val="22"/>
          <w:szCs w:val="22"/>
        </w:rPr>
        <w:t xml:space="preserve"> tested, subsequently, this data was fed into </w:t>
      </w:r>
      <w:r w:rsidR="00D10E4C" w:rsidRPr="00CE1271">
        <w:rPr>
          <w:sz w:val="22"/>
          <w:szCs w:val="22"/>
        </w:rPr>
        <w:t>a</w:t>
      </w:r>
      <w:r w:rsidR="001C08E0" w:rsidRPr="00CE1271">
        <w:rPr>
          <w:sz w:val="22"/>
          <w:szCs w:val="22"/>
        </w:rPr>
        <w:t xml:space="preserve"> </w:t>
      </w:r>
      <w:r w:rsidRPr="00CE1271">
        <w:rPr>
          <w:sz w:val="22"/>
          <w:szCs w:val="22"/>
        </w:rPr>
        <w:t xml:space="preserve">BO algorithm </w:t>
      </w:r>
      <w:r w:rsidR="00D10E4C" w:rsidRPr="00CE1271">
        <w:rPr>
          <w:sz w:val="22"/>
          <w:szCs w:val="22"/>
        </w:rPr>
        <w:t xml:space="preserve">previously </w:t>
      </w:r>
      <w:r w:rsidRPr="00CE1271">
        <w:rPr>
          <w:sz w:val="22"/>
          <w:szCs w:val="22"/>
        </w:rPr>
        <w:t>developed</w:t>
      </w:r>
      <w:r w:rsidR="00435988" w:rsidRPr="00CE1271">
        <w:rPr>
          <w:sz w:val="22"/>
          <w:szCs w:val="22"/>
          <w:vertAlign w:val="superscript"/>
        </w:rPr>
        <w:t>7</w:t>
      </w:r>
      <w:r w:rsidRPr="00CE1271">
        <w:rPr>
          <w:sz w:val="22"/>
          <w:szCs w:val="22"/>
        </w:rPr>
        <w:t>, proposing 4 new electrocatalyst compositions</w:t>
      </w:r>
      <w:r w:rsidR="00DB1AE2" w:rsidRPr="00CE1271">
        <w:rPr>
          <w:sz w:val="22"/>
          <w:szCs w:val="22"/>
        </w:rPr>
        <w:t xml:space="preserve"> each cycle</w:t>
      </w:r>
      <w:r w:rsidRPr="00CE1271">
        <w:rPr>
          <w:sz w:val="22"/>
          <w:szCs w:val="22"/>
        </w:rPr>
        <w:t xml:space="preserve">. For this optimization process two metrics were selected, the first one being </w:t>
      </w:r>
      <w:r w:rsidR="00DB1AE2" w:rsidRPr="00CE1271">
        <w:rPr>
          <w:sz w:val="22"/>
          <w:szCs w:val="22"/>
        </w:rPr>
        <w:t xml:space="preserve">overpotential </w:t>
      </w:r>
      <w:r w:rsidRPr="00CE1271">
        <w:rPr>
          <w:sz w:val="22"/>
          <w:szCs w:val="22"/>
        </w:rPr>
        <w:t>area under a chronopotentiometry (CP) curve @ 50 mA/cm</w:t>
      </w:r>
      <w:r w:rsidRPr="00CE1271">
        <w:rPr>
          <w:sz w:val="22"/>
          <w:szCs w:val="22"/>
          <w:vertAlign w:val="superscript"/>
        </w:rPr>
        <w:t>2</w:t>
      </w:r>
      <w:r w:rsidRPr="00CE1271">
        <w:rPr>
          <w:sz w:val="22"/>
          <w:szCs w:val="22"/>
        </w:rPr>
        <w:t xml:space="preserve"> for 1 hour, the second being the percentual increase in overpotential from </w:t>
      </w:r>
      <w:r w:rsidRPr="00CE1271">
        <w:rPr>
          <w:i/>
          <w:iCs/>
          <w:sz w:val="22"/>
          <w:szCs w:val="22"/>
        </w:rPr>
        <w:t>t</w:t>
      </w:r>
      <w:r w:rsidR="00CC32F5" w:rsidRPr="00CE1271">
        <w:rPr>
          <w:sz w:val="22"/>
          <w:szCs w:val="22"/>
        </w:rPr>
        <w:t xml:space="preserve"> </w:t>
      </w:r>
      <w:r w:rsidRPr="00CE1271">
        <w:rPr>
          <w:sz w:val="22"/>
          <w:szCs w:val="22"/>
        </w:rPr>
        <w:t>=</w:t>
      </w:r>
      <w:r w:rsidR="00CC32F5" w:rsidRPr="00CE1271">
        <w:rPr>
          <w:sz w:val="22"/>
          <w:szCs w:val="22"/>
        </w:rPr>
        <w:t xml:space="preserve"> </w:t>
      </w:r>
      <w:r w:rsidRPr="00CE1271">
        <w:rPr>
          <w:sz w:val="22"/>
          <w:szCs w:val="22"/>
        </w:rPr>
        <w:t xml:space="preserve">0 to </w:t>
      </w:r>
      <w:r w:rsidRPr="00CE1271">
        <w:rPr>
          <w:i/>
          <w:iCs/>
          <w:sz w:val="22"/>
          <w:szCs w:val="22"/>
        </w:rPr>
        <w:t>t</w:t>
      </w:r>
      <w:r w:rsidR="00CC32F5" w:rsidRPr="00CE1271">
        <w:rPr>
          <w:sz w:val="22"/>
          <w:szCs w:val="22"/>
        </w:rPr>
        <w:t xml:space="preserve"> </w:t>
      </w:r>
      <w:r w:rsidRPr="00CE1271">
        <w:rPr>
          <w:sz w:val="22"/>
          <w:szCs w:val="22"/>
        </w:rPr>
        <w:t>=</w:t>
      </w:r>
      <w:r w:rsidR="00CC32F5" w:rsidRPr="00CE1271">
        <w:rPr>
          <w:sz w:val="22"/>
          <w:szCs w:val="22"/>
        </w:rPr>
        <w:t xml:space="preserve"> </w:t>
      </w:r>
      <w:r w:rsidRPr="00CE1271">
        <w:rPr>
          <w:sz w:val="22"/>
          <w:szCs w:val="22"/>
        </w:rPr>
        <w:t xml:space="preserve">1 hour. By attempting to minimize both metrics, we intended to find catalysts with </w:t>
      </w:r>
      <w:r w:rsidR="00DB1AE2" w:rsidRPr="00CE1271">
        <w:rPr>
          <w:sz w:val="22"/>
          <w:szCs w:val="22"/>
        </w:rPr>
        <w:t xml:space="preserve">both </w:t>
      </w:r>
      <w:r w:rsidRPr="00CE1271">
        <w:rPr>
          <w:sz w:val="22"/>
          <w:szCs w:val="22"/>
        </w:rPr>
        <w:t xml:space="preserve">lower overpotential and more durability. This process was repeated for 9 loops, for a total of 44 electrocatalysts tested. </w:t>
      </w:r>
      <w:r w:rsidR="002A333B" w:rsidRPr="00CE1271">
        <w:rPr>
          <w:sz w:val="22"/>
          <w:szCs w:val="22"/>
        </w:rPr>
        <w:t>As</w:t>
      </w:r>
      <w:r w:rsidRPr="00CE1271">
        <w:rPr>
          <w:sz w:val="22"/>
          <w:szCs w:val="22"/>
        </w:rPr>
        <w:t xml:space="preserve"> experiment-recommendation loops progress</w:t>
      </w:r>
      <w:r w:rsidR="002A333B" w:rsidRPr="00CE1271">
        <w:rPr>
          <w:sz w:val="22"/>
          <w:szCs w:val="22"/>
        </w:rPr>
        <w:t>ed,</w:t>
      </w:r>
      <w:r w:rsidRPr="00CE1271">
        <w:rPr>
          <w:sz w:val="22"/>
          <w:szCs w:val="22"/>
        </w:rPr>
        <w:t xml:space="preserve"> smaller changes in overpotential after 1 hour of CP were found, as expected and for </w:t>
      </w:r>
      <w:r w:rsidR="00DB1AE2" w:rsidRPr="00CE1271">
        <w:rPr>
          <w:sz w:val="22"/>
          <w:szCs w:val="22"/>
        </w:rPr>
        <w:t xml:space="preserve">area </w:t>
      </w:r>
      <w:r w:rsidR="002A333B" w:rsidRPr="00CE1271">
        <w:rPr>
          <w:sz w:val="22"/>
          <w:szCs w:val="22"/>
        </w:rPr>
        <w:t>under CP graph</w:t>
      </w:r>
      <w:r w:rsidRPr="00CE1271">
        <w:rPr>
          <w:sz w:val="22"/>
          <w:szCs w:val="22"/>
        </w:rPr>
        <w:t xml:space="preserve"> a less pronounced pattern was found in an increasing direction, seemingly indicating the possibility of a trade-</w:t>
      </w:r>
      <w:proofErr w:type="gramStart"/>
      <w:r w:rsidRPr="00CE1271">
        <w:rPr>
          <w:sz w:val="22"/>
          <w:szCs w:val="22"/>
        </w:rPr>
        <w:t>off like</w:t>
      </w:r>
      <w:proofErr w:type="gramEnd"/>
      <w:r w:rsidRPr="00CE1271">
        <w:rPr>
          <w:sz w:val="22"/>
          <w:szCs w:val="22"/>
        </w:rPr>
        <w:t xml:space="preserve"> relationship between </w:t>
      </w:r>
      <w:r w:rsidR="003F45EC" w:rsidRPr="00CE1271">
        <w:rPr>
          <w:sz w:val="22"/>
          <w:szCs w:val="22"/>
        </w:rPr>
        <w:t xml:space="preserve">high </w:t>
      </w:r>
      <w:r w:rsidRPr="00CE1271">
        <w:rPr>
          <w:sz w:val="22"/>
          <w:szCs w:val="22"/>
        </w:rPr>
        <w:t>durability and low overpotential</w:t>
      </w:r>
    </w:p>
    <w:p w14:paraId="11D70E49" w14:textId="6709AC6E" w:rsidR="00127969" w:rsidRPr="00CE1271" w:rsidRDefault="00DB1538" w:rsidP="000F1A8F">
      <w:pPr>
        <w:spacing w:line="480" w:lineRule="auto"/>
        <w:jc w:val="both"/>
        <w:rPr>
          <w:sz w:val="22"/>
          <w:szCs w:val="22"/>
        </w:rPr>
      </w:pPr>
      <w:r w:rsidRPr="00CE1271">
        <w:rPr>
          <w:sz w:val="22"/>
          <w:szCs w:val="22"/>
        </w:rPr>
        <w:t>These experimental results are shown together in Figure 2 as a plot where the metrics we have obtained over the course of the experimental work indeed form a pareto front</w:t>
      </w:r>
      <w:r w:rsidR="000F7ABA" w:rsidRPr="00CE1271">
        <w:rPr>
          <w:sz w:val="22"/>
          <w:szCs w:val="22"/>
        </w:rPr>
        <w:t xml:space="preserve"> (indicating there’s always a tradeoff between our optimization metrics)</w:t>
      </w:r>
      <w:r w:rsidRPr="00CE1271">
        <w:rPr>
          <w:sz w:val="22"/>
          <w:szCs w:val="22"/>
        </w:rPr>
        <w:t>, with a few elements being prone to minimal change in overpotential after 1 hour of CP @ 50 mA/cm</w:t>
      </w:r>
      <w:r w:rsidRPr="00CE1271">
        <w:rPr>
          <w:sz w:val="22"/>
          <w:szCs w:val="22"/>
          <w:vertAlign w:val="superscript"/>
        </w:rPr>
        <w:t>2</w:t>
      </w:r>
      <w:r w:rsidRPr="00CE1271">
        <w:rPr>
          <w:sz w:val="22"/>
          <w:szCs w:val="22"/>
        </w:rPr>
        <w:t xml:space="preserve"> (Ti, Cr and Mn), whereas Fe was present almost invariably in most catalysts due to its well-understood positive effect in electrocatalyst properties</w:t>
      </w:r>
      <w:r w:rsidR="00435988" w:rsidRPr="00CE1271">
        <w:rPr>
          <w:sz w:val="22"/>
          <w:szCs w:val="22"/>
          <w:vertAlign w:val="superscript"/>
        </w:rPr>
        <w:t>3</w:t>
      </w:r>
      <w:r w:rsidR="00D323B8" w:rsidRPr="00CE1271">
        <w:rPr>
          <w:sz w:val="22"/>
          <w:szCs w:val="22"/>
          <w:vertAlign w:val="superscript"/>
        </w:rPr>
        <w:t>5</w:t>
      </w:r>
      <w:r w:rsidRPr="00CE1271">
        <w:rPr>
          <w:sz w:val="22"/>
          <w:szCs w:val="22"/>
        </w:rPr>
        <w:t xml:space="preserve">. Interestingly, when compared to a </w:t>
      </w:r>
      <w:proofErr w:type="spellStart"/>
      <w:r w:rsidRPr="00CE1271">
        <w:rPr>
          <w:sz w:val="22"/>
          <w:szCs w:val="22"/>
        </w:rPr>
        <w:t>RuO</w:t>
      </w:r>
      <w:r w:rsidRPr="00CE1271">
        <w:rPr>
          <w:sz w:val="22"/>
          <w:szCs w:val="22"/>
          <w:vertAlign w:val="subscript"/>
        </w:rPr>
        <w:t>x</w:t>
      </w:r>
      <w:proofErr w:type="spellEnd"/>
      <w:r w:rsidRPr="00CE1271">
        <w:rPr>
          <w:sz w:val="22"/>
          <w:szCs w:val="22"/>
        </w:rPr>
        <w:t xml:space="preserve"> benchmark (only 14 layers of </w:t>
      </w:r>
      <w:proofErr w:type="spellStart"/>
      <w:r w:rsidR="003F45EC" w:rsidRPr="00CE1271">
        <w:rPr>
          <w:sz w:val="22"/>
          <w:szCs w:val="22"/>
        </w:rPr>
        <w:t>RuO</w:t>
      </w:r>
      <w:r w:rsidR="003F45EC" w:rsidRPr="00CE1271">
        <w:rPr>
          <w:sz w:val="22"/>
          <w:szCs w:val="22"/>
          <w:vertAlign w:val="subscript"/>
        </w:rPr>
        <w:t>x</w:t>
      </w:r>
      <w:proofErr w:type="spellEnd"/>
      <w:r w:rsidRPr="00CE1271">
        <w:rPr>
          <w:sz w:val="22"/>
          <w:szCs w:val="22"/>
        </w:rPr>
        <w:t xml:space="preserve">), catalysts with even lower overpotential </w:t>
      </w:r>
      <w:r w:rsidR="000C1E1A" w:rsidRPr="00CE1271">
        <w:rPr>
          <w:sz w:val="22"/>
          <w:szCs w:val="22"/>
        </w:rPr>
        <w:t>were</w:t>
      </w:r>
      <w:r w:rsidRPr="00CE1271">
        <w:rPr>
          <w:sz w:val="22"/>
          <w:szCs w:val="22"/>
        </w:rPr>
        <w:t xml:space="preserve"> found. More of these results can be observed in</w:t>
      </w:r>
      <w:r w:rsidR="00DB1AE2" w:rsidRPr="00CE1271">
        <w:rPr>
          <w:sz w:val="22"/>
          <w:szCs w:val="22"/>
        </w:rPr>
        <w:t xml:space="preserve"> Table S1,</w:t>
      </w:r>
      <w:r w:rsidRPr="00CE1271">
        <w:rPr>
          <w:sz w:val="22"/>
          <w:szCs w:val="22"/>
        </w:rPr>
        <w:t xml:space="preserve"> Figure</w:t>
      </w:r>
      <w:r w:rsidR="00DB1AE2" w:rsidRPr="00CE1271">
        <w:rPr>
          <w:sz w:val="22"/>
          <w:szCs w:val="22"/>
        </w:rPr>
        <w:t>s</w:t>
      </w:r>
      <w:r w:rsidRPr="00CE1271">
        <w:rPr>
          <w:sz w:val="22"/>
          <w:szCs w:val="22"/>
        </w:rPr>
        <w:t xml:space="preserve"> S1 </w:t>
      </w:r>
      <w:r w:rsidR="00DB1AE2" w:rsidRPr="00CE1271">
        <w:rPr>
          <w:sz w:val="22"/>
          <w:szCs w:val="22"/>
        </w:rPr>
        <w:t>and S2.</w:t>
      </w:r>
    </w:p>
    <w:p w14:paraId="3A463CFF" w14:textId="77777777" w:rsidR="007E0EBE" w:rsidRPr="00CE1271" w:rsidRDefault="007E0EBE" w:rsidP="000F1A8F">
      <w:pPr>
        <w:spacing w:line="480" w:lineRule="auto"/>
        <w:jc w:val="both"/>
        <w:rPr>
          <w:sz w:val="22"/>
          <w:szCs w:val="22"/>
        </w:rPr>
      </w:pPr>
    </w:p>
    <w:p w14:paraId="16D25382" w14:textId="12E69127" w:rsidR="00DB1538" w:rsidRPr="00CE1271" w:rsidRDefault="00DB1538" w:rsidP="000F1A8F">
      <w:pPr>
        <w:spacing w:line="480" w:lineRule="auto"/>
        <w:jc w:val="both"/>
        <w:rPr>
          <w:sz w:val="22"/>
          <w:szCs w:val="22"/>
        </w:rPr>
      </w:pPr>
    </w:p>
    <w:p w14:paraId="65FE9FF7" w14:textId="0FCED492" w:rsidR="00854E60" w:rsidRPr="00CE1271" w:rsidRDefault="00F15F3F" w:rsidP="001F46FC">
      <w:pPr>
        <w:spacing w:line="480" w:lineRule="auto"/>
        <w:jc w:val="center"/>
        <w:rPr>
          <w:sz w:val="22"/>
          <w:szCs w:val="22"/>
        </w:rPr>
      </w:pPr>
      <w:r w:rsidRPr="00CE1271">
        <w:rPr>
          <w:noProof/>
          <w:sz w:val="22"/>
          <w:szCs w:val="22"/>
        </w:rPr>
        <w:lastRenderedPageBreak/>
        <w:drawing>
          <wp:inline distT="0" distB="0" distL="0" distR="0" wp14:anchorId="76C40409" wp14:editId="3BC74DB6">
            <wp:extent cx="5612130" cy="4055745"/>
            <wp:effectExtent l="0" t="0" r="7620" b="1905"/>
            <wp:docPr id="2" name="Picture 1" descr="A graph with green and red dots&#10;&#10;AI-generated content may be incorrect.">
              <a:extLst xmlns:a="http://schemas.openxmlformats.org/drawingml/2006/main">
                <a:ext uri="{FF2B5EF4-FFF2-40B4-BE49-F238E27FC236}">
                  <a16:creationId xmlns:a16="http://schemas.microsoft.com/office/drawing/2014/main" id="{6A8CE180-88B8-8B3D-EA06-C5CC81CBEFB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graph with green and red dots&#10;&#10;AI-generated content may be incorrect.">
                      <a:extLst>
                        <a:ext uri="{FF2B5EF4-FFF2-40B4-BE49-F238E27FC236}">
                          <a16:creationId xmlns:a16="http://schemas.microsoft.com/office/drawing/2014/main" id="{6A8CE180-88B8-8B3D-EA06-C5CC81CBEFB2}"/>
                        </a:ext>
                      </a:extLst>
                    </pic:cNvPr>
                    <pic:cNvPicPr>
                      <a:picLocks noChangeAspect="1"/>
                    </pic:cNvPicPr>
                  </pic:nvPicPr>
                  <pic:blipFill>
                    <a:blip r:embed="rId11"/>
                    <a:stretch>
                      <a:fillRect/>
                    </a:stretch>
                  </pic:blipFill>
                  <pic:spPr>
                    <a:xfrm>
                      <a:off x="0" y="0"/>
                      <a:ext cx="5612130" cy="4055745"/>
                    </a:xfrm>
                    <a:prstGeom prst="rect">
                      <a:avLst/>
                    </a:prstGeom>
                  </pic:spPr>
                </pic:pic>
              </a:graphicData>
            </a:graphic>
          </wp:inline>
        </w:drawing>
      </w:r>
    </w:p>
    <w:p w14:paraId="5DF6E3A4" w14:textId="76DE7F2A" w:rsidR="00EC41DC" w:rsidRPr="00CE1271" w:rsidRDefault="00DB1538" w:rsidP="000F1A8F">
      <w:pPr>
        <w:spacing w:line="480" w:lineRule="auto"/>
        <w:jc w:val="both"/>
        <w:rPr>
          <w:sz w:val="22"/>
          <w:szCs w:val="22"/>
        </w:rPr>
      </w:pPr>
      <w:r w:rsidRPr="00CE1271">
        <w:rPr>
          <w:b/>
          <w:bCs/>
          <w:sz w:val="22"/>
          <w:szCs w:val="22"/>
        </w:rPr>
        <w:t>Figure 2.</w:t>
      </w:r>
      <w:r w:rsidRPr="00CE1271">
        <w:rPr>
          <w:sz w:val="22"/>
          <w:szCs w:val="22"/>
        </w:rPr>
        <w:t xml:space="preserve"> </w:t>
      </w:r>
      <w:r w:rsidR="000F7ABA" w:rsidRPr="00CE1271">
        <w:rPr>
          <w:sz w:val="22"/>
          <w:szCs w:val="22"/>
        </w:rPr>
        <w:t xml:space="preserve">Plot illustrating </w:t>
      </w:r>
      <w:r w:rsidRPr="00CE1271">
        <w:rPr>
          <w:sz w:val="22"/>
          <w:szCs w:val="22"/>
        </w:rPr>
        <w:t xml:space="preserve">% change in overpotential </w:t>
      </w:r>
      <w:r w:rsidR="00C255BF" w:rsidRPr="00CE1271">
        <w:rPr>
          <w:sz w:val="22"/>
          <w:szCs w:val="22"/>
        </w:rPr>
        <w:t>after 1 hour CP @ 50 mA/ cm</w:t>
      </w:r>
      <w:r w:rsidR="00C255BF" w:rsidRPr="00CE1271">
        <w:rPr>
          <w:sz w:val="22"/>
          <w:szCs w:val="22"/>
          <w:vertAlign w:val="superscript"/>
        </w:rPr>
        <w:t>2</w:t>
      </w:r>
      <w:r w:rsidR="00C255BF" w:rsidRPr="00CE1271">
        <w:rPr>
          <w:sz w:val="22"/>
          <w:szCs w:val="22"/>
        </w:rPr>
        <w:t xml:space="preserve">   </w:t>
      </w:r>
      <w:r w:rsidRPr="00CE1271">
        <w:rPr>
          <w:sz w:val="22"/>
          <w:szCs w:val="22"/>
        </w:rPr>
        <w:t xml:space="preserve">and area </w:t>
      </w:r>
      <w:r w:rsidR="00C255BF" w:rsidRPr="00CE1271">
        <w:rPr>
          <w:i/>
          <w:iCs/>
          <w:sz w:val="22"/>
          <w:szCs w:val="22"/>
        </w:rPr>
        <w:t>iR</w:t>
      </w:r>
      <w:r w:rsidR="00C255BF" w:rsidRPr="00CE1271">
        <w:rPr>
          <w:sz w:val="22"/>
          <w:szCs w:val="22"/>
        </w:rPr>
        <w:t xml:space="preserve"> corrected area </w:t>
      </w:r>
      <w:r w:rsidRPr="00CE1271">
        <w:rPr>
          <w:sz w:val="22"/>
          <w:szCs w:val="22"/>
        </w:rPr>
        <w:t xml:space="preserve">under CP graph. </w:t>
      </w:r>
    </w:p>
    <w:p w14:paraId="63926481" w14:textId="77777777" w:rsidR="00DA1306" w:rsidRDefault="00DA1306" w:rsidP="000F1A8F">
      <w:pPr>
        <w:spacing w:line="480" w:lineRule="auto"/>
        <w:jc w:val="both"/>
        <w:rPr>
          <w:sz w:val="22"/>
          <w:szCs w:val="22"/>
        </w:rPr>
      </w:pPr>
    </w:p>
    <w:p w14:paraId="359B72EA" w14:textId="796645D8" w:rsidR="001A799F" w:rsidRPr="00CE1271" w:rsidRDefault="00DB1538" w:rsidP="000F1A8F">
      <w:pPr>
        <w:spacing w:line="480" w:lineRule="auto"/>
        <w:jc w:val="both"/>
        <w:rPr>
          <w:sz w:val="22"/>
          <w:szCs w:val="22"/>
        </w:rPr>
      </w:pPr>
      <w:r w:rsidRPr="00CE1271">
        <w:rPr>
          <w:sz w:val="22"/>
          <w:szCs w:val="22"/>
        </w:rPr>
        <w:t xml:space="preserve">Satisfied with the results we had </w:t>
      </w:r>
      <w:r w:rsidR="00DB1AE2" w:rsidRPr="00CE1271">
        <w:rPr>
          <w:sz w:val="22"/>
          <w:szCs w:val="22"/>
        </w:rPr>
        <w:t>found;</w:t>
      </w:r>
      <w:r w:rsidRPr="00CE1271">
        <w:rPr>
          <w:sz w:val="22"/>
          <w:szCs w:val="22"/>
        </w:rPr>
        <w:t xml:space="preserve"> we decided to test the most promising compositions at higher temperature order to ascertain their durability. Disappointingly, it became apparent that our best synthesized electrocatalysts were not necessarily much more durable than the </w:t>
      </w:r>
      <w:proofErr w:type="spellStart"/>
      <w:r w:rsidRPr="00CE1271">
        <w:rPr>
          <w:sz w:val="22"/>
          <w:szCs w:val="22"/>
        </w:rPr>
        <w:t>RuO</w:t>
      </w:r>
      <w:r w:rsidRPr="00CE1271">
        <w:rPr>
          <w:sz w:val="22"/>
          <w:szCs w:val="22"/>
          <w:vertAlign w:val="subscript"/>
        </w:rPr>
        <w:t>x</w:t>
      </w:r>
      <w:proofErr w:type="spellEnd"/>
      <w:r w:rsidRPr="00CE1271">
        <w:rPr>
          <w:sz w:val="22"/>
          <w:szCs w:val="22"/>
        </w:rPr>
        <w:t xml:space="preserve"> benchmark when measured with CP @ 100 mA/cm</w:t>
      </w:r>
      <w:r w:rsidRPr="00CE1271">
        <w:rPr>
          <w:sz w:val="22"/>
          <w:szCs w:val="22"/>
          <w:vertAlign w:val="superscript"/>
        </w:rPr>
        <w:t>2</w:t>
      </w:r>
      <w:r w:rsidRPr="00CE1271">
        <w:rPr>
          <w:sz w:val="22"/>
          <w:szCs w:val="22"/>
        </w:rPr>
        <w:t xml:space="preserve"> at 80 </w:t>
      </w:r>
      <w:r w:rsidR="003F45EC" w:rsidRPr="00CE1271">
        <w:rPr>
          <w:sz w:val="22"/>
          <w:szCs w:val="22"/>
        </w:rPr>
        <w:t>°C,</w:t>
      </w:r>
      <w:r w:rsidRPr="00CE1271">
        <w:rPr>
          <w:sz w:val="22"/>
          <w:szCs w:val="22"/>
        </w:rPr>
        <w:t xml:space="preserve"> as can be observed in Figure 3 a). Further testing at room temperature </w:t>
      </w:r>
      <w:r w:rsidR="00012B34" w:rsidRPr="00CE1271">
        <w:rPr>
          <w:sz w:val="22"/>
          <w:szCs w:val="22"/>
        </w:rPr>
        <w:t xml:space="preserve">with simpler catalysts </w:t>
      </w:r>
      <w:r w:rsidR="00C31D7D" w:rsidRPr="00CE1271">
        <w:rPr>
          <w:sz w:val="22"/>
          <w:szCs w:val="22"/>
        </w:rPr>
        <w:t xml:space="preserve">compositions, at the same conditions as the experiments </w:t>
      </w:r>
      <w:r w:rsidRPr="00CE1271">
        <w:rPr>
          <w:sz w:val="22"/>
          <w:szCs w:val="22"/>
        </w:rPr>
        <w:t>for longer periods of time</w:t>
      </w:r>
      <w:r w:rsidR="00C31D7D" w:rsidRPr="00CE1271">
        <w:rPr>
          <w:sz w:val="22"/>
          <w:szCs w:val="22"/>
        </w:rPr>
        <w:t>,</w:t>
      </w:r>
      <w:r w:rsidRPr="00CE1271">
        <w:rPr>
          <w:sz w:val="22"/>
          <w:szCs w:val="22"/>
        </w:rPr>
        <w:t xml:space="preserve"> clarified that indeed the behavior of our “best” catalysts was only </w:t>
      </w:r>
      <w:r w:rsidRPr="00CE1271">
        <w:rPr>
          <w:i/>
          <w:iCs/>
          <w:sz w:val="22"/>
          <w:szCs w:val="22"/>
        </w:rPr>
        <w:t>initially</w:t>
      </w:r>
      <w:r w:rsidRPr="00CE1271">
        <w:rPr>
          <w:sz w:val="22"/>
          <w:szCs w:val="22"/>
        </w:rPr>
        <w:t xml:space="preserve"> different from that of pure </w:t>
      </w:r>
      <w:proofErr w:type="spellStart"/>
      <w:r w:rsidRPr="00CE1271">
        <w:rPr>
          <w:sz w:val="22"/>
          <w:szCs w:val="22"/>
        </w:rPr>
        <w:t>RuO</w:t>
      </w:r>
      <w:r w:rsidRPr="00CE1271">
        <w:rPr>
          <w:sz w:val="22"/>
          <w:szCs w:val="22"/>
          <w:vertAlign w:val="subscript"/>
        </w:rPr>
        <w:t>x</w:t>
      </w:r>
      <w:proofErr w:type="spellEnd"/>
      <w:r w:rsidRPr="00CE1271">
        <w:rPr>
          <w:sz w:val="22"/>
          <w:szCs w:val="22"/>
        </w:rPr>
        <w:t xml:space="preserve">, as shown in Figure </w:t>
      </w:r>
      <w:r w:rsidR="00B65BDC" w:rsidRPr="00CE1271">
        <w:rPr>
          <w:sz w:val="22"/>
          <w:szCs w:val="22"/>
        </w:rPr>
        <w:t>3</w:t>
      </w:r>
      <w:r w:rsidRPr="00CE1271">
        <w:rPr>
          <w:sz w:val="22"/>
          <w:szCs w:val="22"/>
        </w:rPr>
        <w:t xml:space="preserve"> b).</w:t>
      </w:r>
    </w:p>
    <w:p w14:paraId="46E1DA4C" w14:textId="2E49D384" w:rsidR="00F44DAE" w:rsidRPr="00CE1271" w:rsidRDefault="00F44DAE" w:rsidP="000F1A8F">
      <w:pPr>
        <w:spacing w:line="480" w:lineRule="auto"/>
        <w:jc w:val="both"/>
        <w:rPr>
          <w:sz w:val="22"/>
          <w:szCs w:val="22"/>
        </w:rPr>
      </w:pPr>
    </w:p>
    <w:p w14:paraId="056CCE81" w14:textId="2CDEE7C8" w:rsidR="00F87510" w:rsidRPr="00CE1271" w:rsidRDefault="00F87510" w:rsidP="0006557D">
      <w:pPr>
        <w:spacing w:line="480" w:lineRule="auto"/>
        <w:jc w:val="center"/>
        <w:rPr>
          <w:sz w:val="22"/>
          <w:szCs w:val="22"/>
        </w:rPr>
      </w:pPr>
      <w:r w:rsidRPr="00CE1271">
        <w:rPr>
          <w:noProof/>
          <w:sz w:val="22"/>
          <w:szCs w:val="22"/>
        </w:rPr>
        <w:drawing>
          <wp:inline distT="0" distB="0" distL="0" distR="0" wp14:anchorId="3EAC2F01" wp14:editId="3A4E0B04">
            <wp:extent cx="5661523" cy="2206625"/>
            <wp:effectExtent l="0" t="0" r="0" b="3175"/>
            <wp:docPr id="6564855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671694" cy="2210589"/>
                    </a:xfrm>
                    <a:prstGeom prst="rect">
                      <a:avLst/>
                    </a:prstGeom>
                    <a:noFill/>
                  </pic:spPr>
                </pic:pic>
              </a:graphicData>
            </a:graphic>
          </wp:inline>
        </w:drawing>
      </w:r>
    </w:p>
    <w:p w14:paraId="6FF3CAD2" w14:textId="50C1774D" w:rsidR="00EC41DC" w:rsidRDefault="00DB1538" w:rsidP="000F1A8F">
      <w:pPr>
        <w:spacing w:line="480" w:lineRule="auto"/>
        <w:jc w:val="both"/>
        <w:rPr>
          <w:sz w:val="22"/>
          <w:szCs w:val="22"/>
        </w:rPr>
      </w:pPr>
      <w:r w:rsidRPr="00CE1271">
        <w:rPr>
          <w:b/>
          <w:bCs/>
          <w:sz w:val="22"/>
          <w:szCs w:val="22"/>
        </w:rPr>
        <w:t xml:space="preserve">Figure 3. </w:t>
      </w:r>
      <w:r w:rsidRPr="00CE1271">
        <w:rPr>
          <w:sz w:val="22"/>
          <w:szCs w:val="22"/>
        </w:rPr>
        <w:t>a) Performance of optimized electrocatalysts during CP @100 mA/cm</w:t>
      </w:r>
      <w:r w:rsidRPr="00CE1271">
        <w:rPr>
          <w:sz w:val="22"/>
          <w:szCs w:val="22"/>
          <w:vertAlign w:val="superscript"/>
        </w:rPr>
        <w:t>2</w:t>
      </w:r>
      <w:r w:rsidR="00FE3C5D" w:rsidRPr="00CE1271">
        <w:rPr>
          <w:sz w:val="22"/>
          <w:szCs w:val="22"/>
          <w:vertAlign w:val="superscript"/>
        </w:rPr>
        <w:t xml:space="preserve"> </w:t>
      </w:r>
      <w:r w:rsidR="00FE3C5D" w:rsidRPr="00CE1271">
        <w:rPr>
          <w:sz w:val="22"/>
          <w:szCs w:val="22"/>
        </w:rPr>
        <w:t>at 80 °C, pH 9.2</w:t>
      </w:r>
      <w:r w:rsidR="00DE7249" w:rsidRPr="00CE1271">
        <w:rPr>
          <w:sz w:val="22"/>
          <w:szCs w:val="22"/>
        </w:rPr>
        <w:t xml:space="preserve"> </w:t>
      </w:r>
      <w:r w:rsidR="00F15F3F" w:rsidRPr="00CE1271">
        <w:rPr>
          <w:sz w:val="22"/>
          <w:szCs w:val="22"/>
        </w:rPr>
        <w:t>Na</w:t>
      </w:r>
      <w:r w:rsidR="00F15F3F" w:rsidRPr="00CE1271">
        <w:rPr>
          <w:sz w:val="22"/>
          <w:szCs w:val="22"/>
          <w:vertAlign w:val="subscript"/>
        </w:rPr>
        <w:t>2</w:t>
      </w:r>
      <w:r w:rsidR="00F15F3F" w:rsidRPr="00CE1271">
        <w:rPr>
          <w:sz w:val="22"/>
          <w:szCs w:val="22"/>
        </w:rPr>
        <w:t>CO</w:t>
      </w:r>
      <w:r w:rsidR="00F15F3F" w:rsidRPr="00CE1271">
        <w:rPr>
          <w:sz w:val="22"/>
          <w:szCs w:val="22"/>
          <w:vertAlign w:val="subscript"/>
        </w:rPr>
        <w:t>3</w:t>
      </w:r>
      <w:r w:rsidR="00F15F3F" w:rsidRPr="00CE1271">
        <w:rPr>
          <w:sz w:val="22"/>
          <w:szCs w:val="22"/>
        </w:rPr>
        <w:t>-NaHCO</w:t>
      </w:r>
      <w:r w:rsidR="00F15F3F" w:rsidRPr="00CE1271">
        <w:rPr>
          <w:sz w:val="22"/>
          <w:szCs w:val="22"/>
          <w:vertAlign w:val="subscript"/>
        </w:rPr>
        <w:t>3</w:t>
      </w:r>
      <w:r w:rsidR="00592FF7" w:rsidRPr="00CE1271">
        <w:rPr>
          <w:sz w:val="22"/>
          <w:szCs w:val="22"/>
        </w:rPr>
        <w:t xml:space="preserve"> buffer</w:t>
      </w:r>
      <w:r w:rsidR="00FE3C5D" w:rsidRPr="00CE1271">
        <w:rPr>
          <w:sz w:val="22"/>
          <w:szCs w:val="22"/>
        </w:rPr>
        <w:t xml:space="preserve">. </w:t>
      </w:r>
      <w:r w:rsidRPr="00CE1271">
        <w:rPr>
          <w:sz w:val="22"/>
          <w:szCs w:val="22"/>
        </w:rPr>
        <w:t xml:space="preserve">b) Performance of simpler multi-layer catalysts during chronoamperometry at 1 V vs </w:t>
      </w:r>
      <w:r w:rsidR="00521064" w:rsidRPr="00CE1271">
        <w:rPr>
          <w:sz w:val="22"/>
          <w:szCs w:val="22"/>
        </w:rPr>
        <w:t>RHE</w:t>
      </w:r>
      <w:r w:rsidR="0058590C" w:rsidRPr="00CE1271">
        <w:rPr>
          <w:sz w:val="22"/>
          <w:szCs w:val="22"/>
        </w:rPr>
        <w:t>, 0.1 M KOH electrolyte</w:t>
      </w:r>
      <w:r w:rsidR="00C3494F" w:rsidRPr="00CE1271">
        <w:rPr>
          <w:sz w:val="22"/>
          <w:szCs w:val="22"/>
        </w:rPr>
        <w:t xml:space="preserve"> (pH13)</w:t>
      </w:r>
      <w:r w:rsidR="0058590C" w:rsidRPr="00CE1271">
        <w:rPr>
          <w:sz w:val="22"/>
          <w:szCs w:val="22"/>
        </w:rPr>
        <w:t xml:space="preserve"> at room temperature</w:t>
      </w:r>
      <w:r w:rsidRPr="00CE1271">
        <w:rPr>
          <w:sz w:val="22"/>
          <w:szCs w:val="22"/>
        </w:rPr>
        <w:t>.</w:t>
      </w:r>
    </w:p>
    <w:p w14:paraId="0CBDBF32" w14:textId="77777777" w:rsidR="002D088A" w:rsidRPr="00CE1271" w:rsidRDefault="002D088A" w:rsidP="000F1A8F">
      <w:pPr>
        <w:spacing w:line="480" w:lineRule="auto"/>
        <w:jc w:val="both"/>
        <w:rPr>
          <w:sz w:val="22"/>
          <w:szCs w:val="22"/>
        </w:rPr>
      </w:pPr>
    </w:p>
    <w:p w14:paraId="2949F03D" w14:textId="7928F191" w:rsidR="00DB1538" w:rsidRPr="00CE1271" w:rsidRDefault="0006515C" w:rsidP="000F1A8F">
      <w:pPr>
        <w:spacing w:line="480" w:lineRule="auto"/>
        <w:jc w:val="both"/>
        <w:rPr>
          <w:sz w:val="22"/>
          <w:szCs w:val="22"/>
        </w:rPr>
      </w:pPr>
      <w:r w:rsidRPr="00CE1271">
        <w:rPr>
          <w:sz w:val="22"/>
          <w:szCs w:val="22"/>
        </w:rPr>
        <w:t>Reanalyzing our hypothesis,</w:t>
      </w:r>
      <w:r w:rsidR="00DB1538" w:rsidRPr="00CE1271">
        <w:rPr>
          <w:sz w:val="22"/>
          <w:szCs w:val="22"/>
        </w:rPr>
        <w:t xml:space="preserve"> </w:t>
      </w:r>
      <w:r w:rsidRPr="00CE1271">
        <w:rPr>
          <w:sz w:val="22"/>
          <w:szCs w:val="22"/>
        </w:rPr>
        <w:t xml:space="preserve">it </w:t>
      </w:r>
      <w:r w:rsidR="00DB1538" w:rsidRPr="00CE1271">
        <w:rPr>
          <w:sz w:val="22"/>
          <w:szCs w:val="22"/>
        </w:rPr>
        <w:t xml:space="preserve">became apparent that, for a “protective layer” strategy to enhance electrocatalyst durability to work, this layer would have to be not only resistant to dissolution, somehow stabilize </w:t>
      </w:r>
      <w:proofErr w:type="spellStart"/>
      <w:r w:rsidR="00DB1538" w:rsidRPr="00CE1271">
        <w:rPr>
          <w:sz w:val="22"/>
          <w:szCs w:val="22"/>
        </w:rPr>
        <w:t>RuO</w:t>
      </w:r>
      <w:r w:rsidR="00DB1538" w:rsidRPr="00CE1271">
        <w:rPr>
          <w:sz w:val="22"/>
          <w:szCs w:val="22"/>
          <w:vertAlign w:val="subscript"/>
        </w:rPr>
        <w:t>x</w:t>
      </w:r>
      <w:proofErr w:type="spellEnd"/>
      <w:r w:rsidR="00DB1538" w:rsidRPr="00CE1271">
        <w:rPr>
          <w:sz w:val="22"/>
          <w:szCs w:val="22"/>
        </w:rPr>
        <w:t>, and presumably also migrate downwards as the reaction is happening. Perhaps, in spite successful application of this protective layer strategy for other ends, such as minimizing the selectivity of an electrocatalyst towards the chlorine reaction</w:t>
      </w:r>
      <w:r w:rsidR="00435988" w:rsidRPr="00CE1271">
        <w:rPr>
          <w:sz w:val="22"/>
          <w:szCs w:val="22"/>
          <w:vertAlign w:val="superscript"/>
        </w:rPr>
        <w:t>3</w:t>
      </w:r>
      <w:r w:rsidR="00F50B43" w:rsidRPr="00CE1271">
        <w:rPr>
          <w:sz w:val="22"/>
          <w:szCs w:val="22"/>
          <w:vertAlign w:val="superscript"/>
        </w:rPr>
        <w:t>6</w:t>
      </w:r>
      <w:r w:rsidR="00DB1538" w:rsidRPr="00CE1271">
        <w:rPr>
          <w:sz w:val="22"/>
          <w:szCs w:val="22"/>
        </w:rPr>
        <w:t xml:space="preserve">, </w:t>
      </w:r>
      <w:r w:rsidR="004F6AB1" w:rsidRPr="00CE1271">
        <w:rPr>
          <w:sz w:val="22"/>
          <w:szCs w:val="22"/>
        </w:rPr>
        <w:t xml:space="preserve">this strategy </w:t>
      </w:r>
      <w:r w:rsidR="00DB1538" w:rsidRPr="00CE1271">
        <w:rPr>
          <w:sz w:val="22"/>
          <w:szCs w:val="22"/>
        </w:rPr>
        <w:t>would be unlikely to increase the durability of the catalyst.</w:t>
      </w:r>
    </w:p>
    <w:p w14:paraId="394D6C01" w14:textId="290AA75B" w:rsidR="00465156" w:rsidRDefault="00DB1538" w:rsidP="000F1A8F">
      <w:pPr>
        <w:spacing w:line="480" w:lineRule="auto"/>
        <w:jc w:val="both"/>
        <w:rPr>
          <w:sz w:val="22"/>
          <w:szCs w:val="22"/>
        </w:rPr>
      </w:pPr>
      <w:r w:rsidRPr="00CE1271">
        <w:rPr>
          <w:sz w:val="22"/>
          <w:szCs w:val="22"/>
        </w:rPr>
        <w:t xml:space="preserve">This failure exemplifies a major potential pitfall in the usage of </w:t>
      </w:r>
      <w:r w:rsidR="00C31D7D" w:rsidRPr="00CE1271">
        <w:rPr>
          <w:sz w:val="22"/>
          <w:szCs w:val="22"/>
        </w:rPr>
        <w:t>human-in-the-loop</w:t>
      </w:r>
      <w:r w:rsidRPr="00CE1271">
        <w:rPr>
          <w:sz w:val="22"/>
          <w:szCs w:val="22"/>
        </w:rPr>
        <w:t xml:space="preserve"> approaches to optimize electrocatalyst properties, that unless we can ascertain that the behavior initially observed in the electrocatalyst surface (i.e. the outermost layer) is going to be the same as the bulk of the electrocatalyst, it is possible that short term testing</w:t>
      </w:r>
      <w:r w:rsidR="00C31D7D" w:rsidRPr="00CE1271">
        <w:rPr>
          <w:sz w:val="22"/>
          <w:szCs w:val="22"/>
        </w:rPr>
        <w:t>, such as</w:t>
      </w:r>
      <w:r w:rsidRPr="00CE1271">
        <w:rPr>
          <w:sz w:val="22"/>
          <w:szCs w:val="22"/>
        </w:rPr>
        <w:t xml:space="preserve"> </w:t>
      </w:r>
      <w:r w:rsidR="00C31D7D" w:rsidRPr="00CE1271">
        <w:rPr>
          <w:sz w:val="22"/>
          <w:szCs w:val="22"/>
        </w:rPr>
        <w:t>linear sweep voltammetry (LSV)</w:t>
      </w:r>
      <w:r w:rsidRPr="00CE1271">
        <w:rPr>
          <w:sz w:val="22"/>
          <w:szCs w:val="22"/>
        </w:rPr>
        <w:t xml:space="preserve"> short-</w:t>
      </w:r>
      <w:r w:rsidRPr="00CE1271">
        <w:rPr>
          <w:sz w:val="22"/>
          <w:szCs w:val="22"/>
        </w:rPr>
        <w:lastRenderedPageBreak/>
        <w:t>term CP or</w:t>
      </w:r>
      <w:r w:rsidR="00C31D7D" w:rsidRPr="00CE1271">
        <w:rPr>
          <w:sz w:val="22"/>
          <w:szCs w:val="22"/>
        </w:rPr>
        <w:t xml:space="preserve"> chronoamperometry</w:t>
      </w:r>
      <w:r w:rsidRPr="00CE1271">
        <w:rPr>
          <w:sz w:val="22"/>
          <w:szCs w:val="22"/>
        </w:rPr>
        <w:t xml:space="preserve"> </w:t>
      </w:r>
      <w:r w:rsidR="00C31D7D" w:rsidRPr="00CE1271">
        <w:rPr>
          <w:sz w:val="22"/>
          <w:szCs w:val="22"/>
        </w:rPr>
        <w:t>(</w:t>
      </w:r>
      <w:r w:rsidRPr="00CE1271">
        <w:rPr>
          <w:sz w:val="22"/>
          <w:szCs w:val="22"/>
        </w:rPr>
        <w:t xml:space="preserve">CA) </w:t>
      </w:r>
      <w:r w:rsidR="00C31D7D" w:rsidRPr="00CE1271">
        <w:rPr>
          <w:sz w:val="22"/>
          <w:szCs w:val="22"/>
        </w:rPr>
        <w:t xml:space="preserve">are </w:t>
      </w:r>
      <w:r w:rsidRPr="00CE1271">
        <w:rPr>
          <w:sz w:val="22"/>
          <w:szCs w:val="22"/>
        </w:rPr>
        <w:t xml:space="preserve">not reflective of the long term performance of the electrocatalyst at all. In this case this is more straightforward due to the intentional deposition of multiple metal layers, but other similar examples exist where combining </w:t>
      </w:r>
      <w:proofErr w:type="spellStart"/>
      <w:r w:rsidRPr="00CE1271">
        <w:rPr>
          <w:sz w:val="22"/>
          <w:szCs w:val="22"/>
        </w:rPr>
        <w:t>Ir</w:t>
      </w:r>
      <w:proofErr w:type="spellEnd"/>
      <w:r w:rsidRPr="00CE1271">
        <w:rPr>
          <w:sz w:val="22"/>
          <w:szCs w:val="22"/>
        </w:rPr>
        <w:t xml:space="preserve"> or Ru with other metal oxides results in different dissolution rates for different components of the catalyst</w:t>
      </w:r>
      <w:r w:rsidR="00D65240" w:rsidRPr="00CE1271">
        <w:rPr>
          <w:sz w:val="22"/>
          <w:szCs w:val="22"/>
          <w:vertAlign w:val="superscript"/>
        </w:rPr>
        <w:t>3</w:t>
      </w:r>
      <w:r w:rsidR="00F50B43" w:rsidRPr="00CE1271">
        <w:rPr>
          <w:sz w:val="22"/>
          <w:szCs w:val="22"/>
          <w:vertAlign w:val="superscript"/>
        </w:rPr>
        <w:t>6</w:t>
      </w:r>
      <w:r w:rsidRPr="00CE1271">
        <w:rPr>
          <w:sz w:val="22"/>
          <w:szCs w:val="22"/>
          <w:vertAlign w:val="superscript"/>
        </w:rPr>
        <w:t xml:space="preserve">, </w:t>
      </w:r>
      <w:r w:rsidR="00D65240" w:rsidRPr="00CE1271">
        <w:rPr>
          <w:sz w:val="22"/>
          <w:szCs w:val="22"/>
          <w:vertAlign w:val="superscript"/>
        </w:rPr>
        <w:t>3</w:t>
      </w:r>
      <w:r w:rsidR="00F50B43" w:rsidRPr="00CE1271">
        <w:rPr>
          <w:sz w:val="22"/>
          <w:szCs w:val="22"/>
          <w:vertAlign w:val="superscript"/>
        </w:rPr>
        <w:t>7</w:t>
      </w:r>
      <w:r w:rsidRPr="00CE1271">
        <w:rPr>
          <w:sz w:val="22"/>
          <w:szCs w:val="22"/>
        </w:rPr>
        <w:t xml:space="preserve">. </w:t>
      </w:r>
      <w:r w:rsidR="00465156" w:rsidRPr="00CE1271">
        <w:rPr>
          <w:rFonts w:hint="eastAsia"/>
          <w:sz w:val="22"/>
          <w:szCs w:val="22"/>
        </w:rPr>
        <w:t xml:space="preserve"> </w:t>
      </w:r>
      <w:r w:rsidRPr="00CE1271">
        <w:rPr>
          <w:sz w:val="22"/>
          <w:szCs w:val="22"/>
        </w:rPr>
        <w:t xml:space="preserve">This is especially critical for catalysts </w:t>
      </w:r>
      <w:r w:rsidR="008D4F0F" w:rsidRPr="00CE1271">
        <w:rPr>
          <w:sz w:val="22"/>
          <w:szCs w:val="22"/>
        </w:rPr>
        <w:t>composed</w:t>
      </w:r>
      <w:r w:rsidRPr="00CE1271">
        <w:rPr>
          <w:sz w:val="22"/>
          <w:szCs w:val="22"/>
        </w:rPr>
        <w:t xml:space="preserve"> of complex, amorphous </w:t>
      </w:r>
      <w:r w:rsidR="0058590C" w:rsidRPr="00CE1271">
        <w:rPr>
          <w:sz w:val="22"/>
          <w:szCs w:val="22"/>
        </w:rPr>
        <w:t xml:space="preserve">structures </w:t>
      </w:r>
      <w:r w:rsidRPr="00CE1271">
        <w:rPr>
          <w:sz w:val="22"/>
          <w:szCs w:val="22"/>
        </w:rPr>
        <w:t xml:space="preserve">comprised of different various elements </w:t>
      </w:r>
      <w:r w:rsidR="0019076B" w:rsidRPr="00CE1271">
        <w:rPr>
          <w:sz w:val="22"/>
          <w:szCs w:val="22"/>
        </w:rPr>
        <w:t>where</w:t>
      </w:r>
      <w:r w:rsidRPr="00CE1271">
        <w:rPr>
          <w:sz w:val="22"/>
          <w:szCs w:val="22"/>
        </w:rPr>
        <w:t xml:space="preserve"> the</w:t>
      </w:r>
      <w:r w:rsidR="00E71212" w:rsidRPr="00CE1271">
        <w:rPr>
          <w:sz w:val="22"/>
          <w:szCs w:val="22"/>
        </w:rPr>
        <w:t>re is the</w:t>
      </w:r>
      <w:r w:rsidRPr="00CE1271">
        <w:rPr>
          <w:sz w:val="22"/>
          <w:szCs w:val="22"/>
        </w:rPr>
        <w:t xml:space="preserve"> possibility of there being various types of active </w:t>
      </w:r>
      <w:r w:rsidR="00E71212" w:rsidRPr="00CE1271">
        <w:rPr>
          <w:sz w:val="22"/>
          <w:szCs w:val="22"/>
        </w:rPr>
        <w:t>sites with</w:t>
      </w:r>
      <w:r w:rsidRPr="00CE1271">
        <w:rPr>
          <w:sz w:val="22"/>
          <w:szCs w:val="22"/>
        </w:rPr>
        <w:t xml:space="preserve"> different dissolution rate</w:t>
      </w:r>
      <w:r w:rsidR="00E71212" w:rsidRPr="00CE1271">
        <w:rPr>
          <w:sz w:val="22"/>
          <w:szCs w:val="22"/>
        </w:rPr>
        <w:t>s</w:t>
      </w:r>
      <w:r w:rsidRPr="00CE1271">
        <w:rPr>
          <w:sz w:val="22"/>
          <w:szCs w:val="22"/>
        </w:rPr>
        <w:t xml:space="preserve">, and by extension more complicated behavior over time than would otherwise initially </w:t>
      </w:r>
      <w:r w:rsidR="0058590C" w:rsidRPr="00CE1271">
        <w:rPr>
          <w:sz w:val="22"/>
          <w:szCs w:val="22"/>
        </w:rPr>
        <w:t>appear</w:t>
      </w:r>
      <w:r w:rsidRPr="00CE1271">
        <w:rPr>
          <w:sz w:val="22"/>
          <w:szCs w:val="22"/>
        </w:rPr>
        <w:t xml:space="preserve">. </w:t>
      </w:r>
    </w:p>
    <w:p w14:paraId="0B264D94" w14:textId="77777777" w:rsidR="002D088A" w:rsidRPr="00CE1271" w:rsidRDefault="002D088A" w:rsidP="000F1A8F">
      <w:pPr>
        <w:spacing w:line="480" w:lineRule="auto"/>
        <w:jc w:val="both"/>
        <w:rPr>
          <w:sz w:val="22"/>
          <w:szCs w:val="22"/>
        </w:rPr>
      </w:pPr>
    </w:p>
    <w:p w14:paraId="56E84724" w14:textId="4D815245" w:rsidR="00825071" w:rsidRPr="00CE1271" w:rsidRDefault="00825071" w:rsidP="000F1A8F">
      <w:pPr>
        <w:spacing w:line="480" w:lineRule="auto"/>
        <w:jc w:val="both"/>
        <w:rPr>
          <w:b/>
          <w:bCs/>
          <w:sz w:val="22"/>
          <w:szCs w:val="22"/>
        </w:rPr>
      </w:pPr>
      <w:r w:rsidRPr="00CE1271">
        <w:rPr>
          <w:b/>
          <w:bCs/>
          <w:sz w:val="22"/>
          <w:szCs w:val="22"/>
        </w:rPr>
        <w:t xml:space="preserve">Problems with current normalization and selection of metrics for electrocatalyst property optimization </w:t>
      </w:r>
    </w:p>
    <w:p w14:paraId="29103833" w14:textId="26229A4C" w:rsidR="00B4593A" w:rsidRPr="00CE1271" w:rsidRDefault="00B4593A" w:rsidP="000F1A8F">
      <w:pPr>
        <w:spacing w:line="480" w:lineRule="auto"/>
        <w:jc w:val="both"/>
        <w:rPr>
          <w:sz w:val="22"/>
          <w:szCs w:val="22"/>
        </w:rPr>
      </w:pPr>
      <w:r w:rsidRPr="00CE1271">
        <w:rPr>
          <w:sz w:val="22"/>
          <w:szCs w:val="22"/>
        </w:rPr>
        <w:t xml:space="preserve">In the case of an experimental approach that involves the use of geometrically well-defined substrates (such as Ti </w:t>
      </w:r>
      <w:r w:rsidR="007A3BE9" w:rsidRPr="00CE1271">
        <w:rPr>
          <w:sz w:val="22"/>
          <w:szCs w:val="22"/>
        </w:rPr>
        <w:t>substrates</w:t>
      </w:r>
      <w:r w:rsidRPr="00CE1271">
        <w:rPr>
          <w:sz w:val="22"/>
          <w:szCs w:val="22"/>
        </w:rPr>
        <w:t xml:space="preserve">, as in this paper), where the electrocatalytically active species are deposited on top of it, </w:t>
      </w:r>
      <w:r w:rsidR="00CB5977" w:rsidRPr="00CE1271">
        <w:rPr>
          <w:sz w:val="22"/>
          <w:szCs w:val="22"/>
        </w:rPr>
        <w:t>normalization can be problematic</w:t>
      </w:r>
      <w:r w:rsidRPr="00CE1271">
        <w:rPr>
          <w:sz w:val="22"/>
          <w:szCs w:val="22"/>
        </w:rPr>
        <w:t xml:space="preserve">. </w:t>
      </w:r>
      <w:r w:rsidR="00CB5977" w:rsidRPr="00CE1271">
        <w:rPr>
          <w:sz w:val="22"/>
          <w:szCs w:val="22"/>
        </w:rPr>
        <w:t>If</w:t>
      </w:r>
      <w:r w:rsidRPr="00CE1271">
        <w:rPr>
          <w:sz w:val="22"/>
          <w:szCs w:val="22"/>
        </w:rPr>
        <w:t xml:space="preserve"> the surface where the </w:t>
      </w:r>
      <w:r w:rsidR="00085267" w:rsidRPr="00CE1271">
        <w:rPr>
          <w:sz w:val="22"/>
          <w:szCs w:val="22"/>
        </w:rPr>
        <w:t>electrocatalyst</w:t>
      </w:r>
      <w:r w:rsidRPr="00CE1271">
        <w:rPr>
          <w:sz w:val="22"/>
          <w:szCs w:val="22"/>
        </w:rPr>
        <w:t xml:space="preserve"> is deposited is not highly accurate, substantial differences in electrochemical response can be observed across different samples, even if the catalyst loading is the same.</w:t>
      </w:r>
      <w:r w:rsidR="00AE6EB2" w:rsidRPr="00CE1271">
        <w:rPr>
          <w:sz w:val="22"/>
          <w:szCs w:val="22"/>
        </w:rPr>
        <w:t xml:space="preserve"> </w:t>
      </w:r>
      <w:r w:rsidRPr="00CE1271">
        <w:rPr>
          <w:sz w:val="22"/>
          <w:szCs w:val="22"/>
        </w:rPr>
        <w:t>This is of special concern for electrocatalysts made by drop</w:t>
      </w:r>
      <w:r w:rsidR="00D65240" w:rsidRPr="00CE1271">
        <w:rPr>
          <w:sz w:val="22"/>
          <w:szCs w:val="22"/>
        </w:rPr>
        <w:t xml:space="preserve"> </w:t>
      </w:r>
      <w:r w:rsidRPr="00CE1271">
        <w:rPr>
          <w:sz w:val="22"/>
          <w:szCs w:val="22"/>
        </w:rPr>
        <w:t xml:space="preserve">casting or ink </w:t>
      </w:r>
      <w:r w:rsidR="006C753C" w:rsidRPr="00CE1271">
        <w:rPr>
          <w:sz w:val="22"/>
          <w:szCs w:val="22"/>
        </w:rPr>
        <w:t>spraying</w:t>
      </w:r>
      <w:r w:rsidR="00D65240" w:rsidRPr="00CE1271">
        <w:rPr>
          <w:sz w:val="22"/>
          <w:szCs w:val="22"/>
          <w:vertAlign w:val="superscript"/>
        </w:rPr>
        <w:t>3</w:t>
      </w:r>
      <w:r w:rsidR="00F50B43" w:rsidRPr="00CE1271">
        <w:rPr>
          <w:sz w:val="22"/>
          <w:szCs w:val="22"/>
          <w:vertAlign w:val="superscript"/>
        </w:rPr>
        <w:t>8</w:t>
      </w:r>
      <w:r w:rsidR="008E298F" w:rsidRPr="00CE1271">
        <w:rPr>
          <w:sz w:val="22"/>
          <w:szCs w:val="22"/>
          <w:vertAlign w:val="superscript"/>
        </w:rPr>
        <w:t>,3</w:t>
      </w:r>
      <w:r w:rsidR="00F50B43" w:rsidRPr="00CE1271">
        <w:rPr>
          <w:sz w:val="22"/>
          <w:szCs w:val="22"/>
          <w:vertAlign w:val="superscript"/>
        </w:rPr>
        <w:t>9</w:t>
      </w:r>
      <w:r w:rsidRPr="00CE1271">
        <w:rPr>
          <w:sz w:val="22"/>
          <w:szCs w:val="22"/>
        </w:rPr>
        <w:t xml:space="preserve">. </w:t>
      </w:r>
    </w:p>
    <w:p w14:paraId="24A19E55" w14:textId="0160BF35" w:rsidR="00A0252B" w:rsidRDefault="00B4593A" w:rsidP="000F1A8F">
      <w:pPr>
        <w:spacing w:line="480" w:lineRule="auto"/>
        <w:jc w:val="both"/>
        <w:rPr>
          <w:sz w:val="22"/>
          <w:szCs w:val="22"/>
        </w:rPr>
      </w:pPr>
      <w:r w:rsidRPr="00CE1271">
        <w:rPr>
          <w:sz w:val="22"/>
          <w:szCs w:val="22"/>
        </w:rPr>
        <w:t xml:space="preserve">The reason for these differences </w:t>
      </w:r>
      <w:r w:rsidR="00502E88" w:rsidRPr="00CE1271">
        <w:rPr>
          <w:sz w:val="22"/>
          <w:szCs w:val="22"/>
        </w:rPr>
        <w:t xml:space="preserve">in </w:t>
      </w:r>
      <w:r w:rsidRPr="00CE1271">
        <w:rPr>
          <w:sz w:val="22"/>
          <w:szCs w:val="22"/>
        </w:rPr>
        <w:t xml:space="preserve">performance is that the electrochemical response observed at a given potential is not a function of the total number of active sites in the electrocatalyst sample, but rather </w:t>
      </w:r>
      <w:r w:rsidR="00CB5977" w:rsidRPr="00CE1271">
        <w:rPr>
          <w:sz w:val="22"/>
          <w:szCs w:val="22"/>
        </w:rPr>
        <w:t>of</w:t>
      </w:r>
      <w:r w:rsidRPr="00CE1271">
        <w:rPr>
          <w:sz w:val="22"/>
          <w:szCs w:val="22"/>
        </w:rPr>
        <w:t xml:space="preserve"> the number of active sites </w:t>
      </w:r>
      <w:r w:rsidRPr="00CE1271">
        <w:rPr>
          <w:i/>
          <w:iCs/>
          <w:sz w:val="22"/>
          <w:szCs w:val="22"/>
        </w:rPr>
        <w:t>current</w:t>
      </w:r>
      <w:r w:rsidR="00085267" w:rsidRPr="00CE1271">
        <w:rPr>
          <w:i/>
          <w:iCs/>
          <w:sz w:val="22"/>
          <w:szCs w:val="22"/>
        </w:rPr>
        <w:t>ly</w:t>
      </w:r>
      <w:r w:rsidRPr="00CE1271">
        <w:rPr>
          <w:i/>
          <w:iCs/>
          <w:sz w:val="22"/>
          <w:szCs w:val="22"/>
        </w:rPr>
        <w:t xml:space="preserve"> accessible</w:t>
      </w:r>
      <w:r w:rsidRPr="00CE1271">
        <w:rPr>
          <w:sz w:val="22"/>
          <w:szCs w:val="22"/>
        </w:rPr>
        <w:t xml:space="preserve"> to the electrolyte at a given point in time. In Figure </w:t>
      </w:r>
      <w:r w:rsidR="00963E67" w:rsidRPr="00CE1271">
        <w:rPr>
          <w:sz w:val="22"/>
          <w:szCs w:val="22"/>
        </w:rPr>
        <w:t>4</w:t>
      </w:r>
      <w:r w:rsidR="005F0583" w:rsidRPr="00CE1271">
        <w:rPr>
          <w:sz w:val="22"/>
          <w:szCs w:val="22"/>
        </w:rPr>
        <w:t xml:space="preserve"> </w:t>
      </w:r>
      <w:r w:rsidR="007A3BE9" w:rsidRPr="00CE1271">
        <w:rPr>
          <w:sz w:val="22"/>
          <w:szCs w:val="22"/>
        </w:rPr>
        <w:t xml:space="preserve">a) </w:t>
      </w:r>
      <w:r w:rsidRPr="00CE1271">
        <w:rPr>
          <w:sz w:val="22"/>
          <w:szCs w:val="22"/>
        </w:rPr>
        <w:t xml:space="preserve">we exemplify this by using the same loading of </w:t>
      </w:r>
      <w:proofErr w:type="spellStart"/>
      <w:r w:rsidRPr="00CE1271">
        <w:rPr>
          <w:sz w:val="22"/>
          <w:szCs w:val="22"/>
        </w:rPr>
        <w:t>RuO</w:t>
      </w:r>
      <w:r w:rsidRPr="00CE1271">
        <w:rPr>
          <w:sz w:val="22"/>
          <w:szCs w:val="22"/>
          <w:vertAlign w:val="subscript"/>
        </w:rPr>
        <w:t>x</w:t>
      </w:r>
      <w:proofErr w:type="spellEnd"/>
      <w:r w:rsidRPr="00CE1271">
        <w:rPr>
          <w:sz w:val="22"/>
          <w:szCs w:val="22"/>
        </w:rPr>
        <w:t xml:space="preserve"> on Ti substrates, but deliberately varying the area of spread of the catalyst precursor. </w:t>
      </w:r>
      <w:r w:rsidR="000C1E1A" w:rsidRPr="00CE1271">
        <w:rPr>
          <w:sz w:val="22"/>
          <w:szCs w:val="22"/>
        </w:rPr>
        <w:t>As</w:t>
      </w:r>
      <w:r w:rsidRPr="00CE1271">
        <w:rPr>
          <w:sz w:val="22"/>
          <w:szCs w:val="22"/>
        </w:rPr>
        <w:t xml:space="preserve"> can be observed, to a certain extent indeed larger area spread of the catalyst results in higher observed current at a given potential during LSV </w:t>
      </w:r>
      <w:r w:rsidRPr="00CE1271">
        <w:rPr>
          <w:sz w:val="22"/>
          <w:szCs w:val="22"/>
        </w:rPr>
        <w:lastRenderedPageBreak/>
        <w:t>measurements</w:t>
      </w:r>
      <w:r w:rsidR="00085267" w:rsidRPr="00CE1271">
        <w:rPr>
          <w:sz w:val="22"/>
          <w:szCs w:val="22"/>
        </w:rPr>
        <w:t xml:space="preserve">, though it does not scale proportionately with the increase in observed geometric area, presumably due to higher roughness factor in smaller geometric area </w:t>
      </w:r>
      <w:r w:rsidR="00DD6715" w:rsidRPr="00CE1271">
        <w:rPr>
          <w:sz w:val="22"/>
          <w:szCs w:val="22"/>
        </w:rPr>
        <w:t>samples</w:t>
      </w:r>
      <w:r w:rsidRPr="00CE1271">
        <w:rPr>
          <w:sz w:val="22"/>
          <w:szCs w:val="22"/>
        </w:rPr>
        <w:t>. However</w:t>
      </w:r>
      <w:r w:rsidR="000C1E1A" w:rsidRPr="00CE1271">
        <w:rPr>
          <w:sz w:val="22"/>
          <w:szCs w:val="22"/>
        </w:rPr>
        <w:t>, the</w:t>
      </w:r>
      <w:r w:rsidRPr="00CE1271">
        <w:rPr>
          <w:sz w:val="22"/>
          <w:szCs w:val="22"/>
        </w:rPr>
        <w:t xml:space="preserve"> effect on the apparent durability of the catalyst during CP is especially </w:t>
      </w:r>
      <w:r w:rsidRPr="00CE1271">
        <w:rPr>
          <w:b/>
          <w:bCs/>
          <w:i/>
          <w:iCs/>
          <w:sz w:val="22"/>
          <w:szCs w:val="22"/>
          <w:u w:val="single"/>
        </w:rPr>
        <w:t>devilish</w:t>
      </w:r>
      <w:r w:rsidRPr="00CE1271">
        <w:rPr>
          <w:sz w:val="22"/>
          <w:szCs w:val="22"/>
        </w:rPr>
        <w:t xml:space="preserve">. This can be observed in Figure </w:t>
      </w:r>
      <w:r w:rsidR="00963E67" w:rsidRPr="00CE1271">
        <w:rPr>
          <w:sz w:val="22"/>
          <w:szCs w:val="22"/>
        </w:rPr>
        <w:t>4</w:t>
      </w:r>
      <w:r w:rsidRPr="00CE1271">
        <w:rPr>
          <w:sz w:val="22"/>
          <w:szCs w:val="22"/>
        </w:rPr>
        <w:t xml:space="preserve"> </w:t>
      </w:r>
      <w:r w:rsidR="007A3BE9" w:rsidRPr="00CE1271">
        <w:rPr>
          <w:sz w:val="22"/>
          <w:szCs w:val="22"/>
        </w:rPr>
        <w:t>b</w:t>
      </w:r>
      <w:r w:rsidRPr="00CE1271">
        <w:rPr>
          <w:sz w:val="22"/>
          <w:szCs w:val="22"/>
        </w:rPr>
        <w:t xml:space="preserve">), where it appears that the </w:t>
      </w:r>
      <w:proofErr w:type="spellStart"/>
      <w:r w:rsidR="00F05C0D" w:rsidRPr="00CE1271">
        <w:rPr>
          <w:sz w:val="22"/>
          <w:szCs w:val="22"/>
        </w:rPr>
        <w:t>RuO</w:t>
      </w:r>
      <w:r w:rsidR="00F05C0D" w:rsidRPr="00CE1271">
        <w:rPr>
          <w:sz w:val="22"/>
          <w:szCs w:val="22"/>
          <w:vertAlign w:val="subscript"/>
        </w:rPr>
        <w:t>x</w:t>
      </w:r>
      <w:proofErr w:type="spellEnd"/>
      <w:r w:rsidR="00F05C0D" w:rsidRPr="00CE1271">
        <w:rPr>
          <w:sz w:val="22"/>
          <w:szCs w:val="22"/>
        </w:rPr>
        <w:t xml:space="preserve"> </w:t>
      </w:r>
      <w:r w:rsidRPr="00CE1271">
        <w:rPr>
          <w:sz w:val="22"/>
          <w:szCs w:val="22"/>
        </w:rPr>
        <w:t xml:space="preserve">electrocatalysts </w:t>
      </w:r>
      <w:r w:rsidR="001A3B4C" w:rsidRPr="00CE1271">
        <w:rPr>
          <w:sz w:val="22"/>
          <w:szCs w:val="22"/>
        </w:rPr>
        <w:t>dispersed in</w:t>
      </w:r>
      <w:r w:rsidRPr="00CE1271">
        <w:rPr>
          <w:sz w:val="22"/>
          <w:szCs w:val="22"/>
        </w:rPr>
        <w:t xml:space="preserve"> lower area seem more durable than those</w:t>
      </w:r>
      <w:r w:rsidR="00FA008C" w:rsidRPr="00CE1271">
        <w:rPr>
          <w:sz w:val="22"/>
          <w:szCs w:val="22"/>
        </w:rPr>
        <w:t xml:space="preserve"> spread</w:t>
      </w:r>
      <w:r w:rsidRPr="00CE1271">
        <w:rPr>
          <w:sz w:val="22"/>
          <w:szCs w:val="22"/>
        </w:rPr>
        <w:t xml:space="preserve"> </w:t>
      </w:r>
      <w:r w:rsidR="00FA008C" w:rsidRPr="00CE1271">
        <w:rPr>
          <w:sz w:val="22"/>
          <w:szCs w:val="22"/>
        </w:rPr>
        <w:t>in</w:t>
      </w:r>
      <w:r w:rsidRPr="00CE1271">
        <w:rPr>
          <w:sz w:val="22"/>
          <w:szCs w:val="22"/>
        </w:rPr>
        <w:t xml:space="preserve"> larger area at the same </w:t>
      </w:r>
      <w:r w:rsidR="00210B17" w:rsidRPr="00CE1271">
        <w:rPr>
          <w:sz w:val="22"/>
          <w:szCs w:val="22"/>
        </w:rPr>
        <w:t xml:space="preserve">surface-area-normalized </w:t>
      </w:r>
      <w:r w:rsidRPr="00CE1271">
        <w:rPr>
          <w:sz w:val="22"/>
          <w:szCs w:val="22"/>
        </w:rPr>
        <w:t xml:space="preserve">current density. </w:t>
      </w:r>
    </w:p>
    <w:p w14:paraId="1F134E33" w14:textId="77777777" w:rsidR="002D088A" w:rsidRPr="00CE1271" w:rsidRDefault="002D088A" w:rsidP="000F1A8F">
      <w:pPr>
        <w:spacing w:line="480" w:lineRule="auto"/>
        <w:jc w:val="both"/>
        <w:rPr>
          <w:sz w:val="22"/>
          <w:szCs w:val="22"/>
        </w:rPr>
      </w:pPr>
    </w:p>
    <w:p w14:paraId="0F6B4570" w14:textId="7793F6A5" w:rsidR="0078004C" w:rsidRPr="00CE1271" w:rsidRDefault="001054CC" w:rsidP="000F1A8F">
      <w:pPr>
        <w:spacing w:line="480" w:lineRule="auto"/>
        <w:jc w:val="both"/>
        <w:rPr>
          <w:sz w:val="22"/>
          <w:szCs w:val="22"/>
        </w:rPr>
      </w:pPr>
      <w:r w:rsidRPr="00CE1271">
        <w:rPr>
          <w:noProof/>
          <w:sz w:val="22"/>
          <w:szCs w:val="22"/>
        </w:rPr>
        <w:drawing>
          <wp:inline distT="0" distB="0" distL="0" distR="0" wp14:anchorId="711C6B3D" wp14:editId="70C114F6">
            <wp:extent cx="5619195" cy="4002351"/>
            <wp:effectExtent l="0" t="0" r="635" b="0"/>
            <wp:docPr id="3" name="Picture 2" descr="A graph of a person's reaction&#10;&#10;AI-generated content may be incorrect.">
              <a:extLst xmlns:a="http://schemas.openxmlformats.org/drawingml/2006/main">
                <a:ext uri="{FF2B5EF4-FFF2-40B4-BE49-F238E27FC236}">
                  <a16:creationId xmlns:a16="http://schemas.microsoft.com/office/drawing/2014/main" id="{E3765623-20C6-EF00-406F-69A5B37C85D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graph of a person's reaction&#10;&#10;AI-generated content may be incorrect.">
                      <a:extLst>
                        <a:ext uri="{FF2B5EF4-FFF2-40B4-BE49-F238E27FC236}">
                          <a16:creationId xmlns:a16="http://schemas.microsoft.com/office/drawing/2014/main" id="{E3765623-20C6-EF00-406F-69A5B37C85D9}"/>
                        </a:ext>
                      </a:extLst>
                    </pic:cNvPr>
                    <pic:cNvPicPr>
                      <a:picLocks noChangeAspect="1"/>
                    </pic:cNvPicPr>
                  </pic:nvPicPr>
                  <pic:blipFill>
                    <a:blip r:embed="rId13"/>
                    <a:stretch>
                      <a:fillRect/>
                    </a:stretch>
                  </pic:blipFill>
                  <pic:spPr>
                    <a:xfrm>
                      <a:off x="0" y="0"/>
                      <a:ext cx="5651657" cy="4025472"/>
                    </a:xfrm>
                    <a:prstGeom prst="rect">
                      <a:avLst/>
                    </a:prstGeom>
                  </pic:spPr>
                </pic:pic>
              </a:graphicData>
            </a:graphic>
          </wp:inline>
        </w:drawing>
      </w:r>
    </w:p>
    <w:p w14:paraId="34836FAC" w14:textId="1963CEE5" w:rsidR="00D22C2C" w:rsidRPr="00CE1271" w:rsidRDefault="005F0583" w:rsidP="000F1A8F">
      <w:pPr>
        <w:spacing w:line="480" w:lineRule="auto"/>
        <w:jc w:val="both"/>
        <w:rPr>
          <w:sz w:val="22"/>
          <w:szCs w:val="22"/>
        </w:rPr>
      </w:pPr>
      <w:r w:rsidRPr="00CE1271">
        <w:rPr>
          <w:b/>
          <w:bCs/>
          <w:sz w:val="22"/>
          <w:szCs w:val="22"/>
        </w:rPr>
        <w:t xml:space="preserve">Figure </w:t>
      </w:r>
      <w:r w:rsidR="00963E67" w:rsidRPr="00CE1271">
        <w:rPr>
          <w:b/>
          <w:bCs/>
          <w:sz w:val="22"/>
          <w:szCs w:val="22"/>
        </w:rPr>
        <w:t>4</w:t>
      </w:r>
      <w:r w:rsidRPr="00CE1271">
        <w:rPr>
          <w:b/>
          <w:bCs/>
          <w:sz w:val="22"/>
          <w:szCs w:val="22"/>
        </w:rPr>
        <w:t>.</w:t>
      </w:r>
      <w:r w:rsidRPr="00CE1271">
        <w:rPr>
          <w:sz w:val="22"/>
          <w:szCs w:val="22"/>
        </w:rPr>
        <w:t xml:space="preserve"> </w:t>
      </w:r>
      <w:r w:rsidR="00FE3C5D" w:rsidRPr="00CE1271">
        <w:rPr>
          <w:b/>
          <w:bCs/>
          <w:sz w:val="22"/>
          <w:szCs w:val="22"/>
        </w:rPr>
        <w:t xml:space="preserve">Testing of </w:t>
      </w:r>
      <w:proofErr w:type="spellStart"/>
      <w:r w:rsidR="00FE3C5D" w:rsidRPr="00CE1271">
        <w:rPr>
          <w:b/>
          <w:bCs/>
          <w:sz w:val="22"/>
          <w:szCs w:val="22"/>
        </w:rPr>
        <w:t>RuO</w:t>
      </w:r>
      <w:r w:rsidR="00FE3C5D" w:rsidRPr="00CE1271">
        <w:rPr>
          <w:b/>
          <w:bCs/>
          <w:sz w:val="22"/>
          <w:szCs w:val="22"/>
          <w:vertAlign w:val="subscript"/>
        </w:rPr>
        <w:t>x</w:t>
      </w:r>
      <w:proofErr w:type="spellEnd"/>
      <w:r w:rsidR="00FE3C5D" w:rsidRPr="00CE1271">
        <w:rPr>
          <w:b/>
          <w:bCs/>
          <w:sz w:val="22"/>
          <w:szCs w:val="22"/>
        </w:rPr>
        <w:t xml:space="preserve"> in 0.1 M KOH electrolyte, room temperature.</w:t>
      </w:r>
      <w:r w:rsidR="00FE3C5D" w:rsidRPr="00CE1271">
        <w:rPr>
          <w:sz w:val="22"/>
          <w:szCs w:val="22"/>
        </w:rPr>
        <w:t xml:space="preserve"> </w:t>
      </w:r>
      <w:r w:rsidR="00637B6C" w:rsidRPr="00CE1271">
        <w:rPr>
          <w:sz w:val="22"/>
          <w:szCs w:val="22"/>
        </w:rPr>
        <w:t>a) LSV</w:t>
      </w:r>
      <w:r w:rsidR="00B60F8D" w:rsidRPr="00CE1271">
        <w:rPr>
          <w:sz w:val="22"/>
          <w:szCs w:val="22"/>
        </w:rPr>
        <w:t xml:space="preserve"> curves</w:t>
      </w:r>
      <w:r w:rsidR="00637B6C" w:rsidRPr="00CE1271">
        <w:rPr>
          <w:sz w:val="22"/>
          <w:szCs w:val="22"/>
        </w:rPr>
        <w:t xml:space="preserve"> of </w:t>
      </w:r>
      <w:proofErr w:type="spellStart"/>
      <w:r w:rsidR="001A799F" w:rsidRPr="00CE1271">
        <w:rPr>
          <w:sz w:val="22"/>
          <w:szCs w:val="22"/>
        </w:rPr>
        <w:t>RuO</w:t>
      </w:r>
      <w:r w:rsidR="001A799F" w:rsidRPr="00CE1271">
        <w:rPr>
          <w:sz w:val="22"/>
          <w:szCs w:val="22"/>
          <w:vertAlign w:val="subscript"/>
        </w:rPr>
        <w:t>x</w:t>
      </w:r>
      <w:proofErr w:type="spellEnd"/>
      <w:r w:rsidR="001A799F" w:rsidRPr="00CE1271">
        <w:rPr>
          <w:sz w:val="22"/>
          <w:szCs w:val="22"/>
        </w:rPr>
        <w:t xml:space="preserve"> </w:t>
      </w:r>
      <w:r w:rsidR="00637B6C" w:rsidRPr="00CE1271">
        <w:rPr>
          <w:sz w:val="22"/>
          <w:szCs w:val="22"/>
        </w:rPr>
        <w:t>electrocatalysts</w:t>
      </w:r>
      <w:r w:rsidR="00B60F8D" w:rsidRPr="00CE1271">
        <w:rPr>
          <w:sz w:val="22"/>
          <w:szCs w:val="22"/>
        </w:rPr>
        <w:t xml:space="preserve"> with</w:t>
      </w:r>
      <w:r w:rsidR="00637B6C" w:rsidRPr="00CE1271">
        <w:rPr>
          <w:sz w:val="22"/>
          <w:szCs w:val="22"/>
        </w:rPr>
        <w:t xml:space="preserve"> </w:t>
      </w:r>
      <w:r w:rsidR="00B60F8D" w:rsidRPr="00CE1271">
        <w:rPr>
          <w:sz w:val="22"/>
          <w:szCs w:val="22"/>
        </w:rPr>
        <w:t xml:space="preserve">the </w:t>
      </w:r>
      <w:r w:rsidR="00637B6C" w:rsidRPr="00CE1271">
        <w:rPr>
          <w:sz w:val="22"/>
          <w:szCs w:val="22"/>
        </w:rPr>
        <w:t>same metal loading but different spatial spread</w:t>
      </w:r>
      <w:r w:rsidR="00C52C4A" w:rsidRPr="00CE1271">
        <w:rPr>
          <w:sz w:val="22"/>
          <w:szCs w:val="22"/>
        </w:rPr>
        <w:t xml:space="preserve"> conditions</w:t>
      </w:r>
      <w:r w:rsidR="00637B6C" w:rsidRPr="00CE1271">
        <w:rPr>
          <w:sz w:val="22"/>
          <w:szCs w:val="22"/>
        </w:rPr>
        <w:t>. b)</w:t>
      </w:r>
      <w:r w:rsidR="006F4F52" w:rsidRPr="00CE1271">
        <w:rPr>
          <w:sz w:val="22"/>
          <w:szCs w:val="22"/>
        </w:rPr>
        <w:t xml:space="preserve"> </w:t>
      </w:r>
      <w:r w:rsidR="000E7417" w:rsidRPr="00CE1271">
        <w:rPr>
          <w:sz w:val="22"/>
          <w:szCs w:val="22"/>
        </w:rPr>
        <w:t>CP measurements at 50 mA/cm</w:t>
      </w:r>
      <w:r w:rsidR="000E7417" w:rsidRPr="00CE1271">
        <w:rPr>
          <w:sz w:val="22"/>
          <w:szCs w:val="22"/>
          <w:vertAlign w:val="superscript"/>
        </w:rPr>
        <w:t>2</w:t>
      </w:r>
      <w:r w:rsidR="00FE3C5D" w:rsidRPr="00CE1271">
        <w:rPr>
          <w:sz w:val="22"/>
          <w:szCs w:val="22"/>
        </w:rPr>
        <w:t>.</w:t>
      </w:r>
      <w:r w:rsidR="002A333B" w:rsidRPr="00CE1271">
        <w:rPr>
          <w:sz w:val="22"/>
          <w:szCs w:val="22"/>
        </w:rPr>
        <w:t xml:space="preserve"> c) Representati</w:t>
      </w:r>
      <w:r w:rsidR="00A0252B" w:rsidRPr="00CE1271">
        <w:rPr>
          <w:sz w:val="22"/>
          <w:szCs w:val="22"/>
        </w:rPr>
        <w:t>ve illustration</w:t>
      </w:r>
      <w:r w:rsidR="002A333B" w:rsidRPr="00CE1271">
        <w:rPr>
          <w:sz w:val="22"/>
          <w:szCs w:val="22"/>
        </w:rPr>
        <w:t xml:space="preserve"> </w:t>
      </w:r>
      <w:r w:rsidR="00A0252B" w:rsidRPr="00CE1271">
        <w:rPr>
          <w:sz w:val="22"/>
          <w:szCs w:val="22"/>
        </w:rPr>
        <w:t>for</w:t>
      </w:r>
      <w:r w:rsidR="002A333B" w:rsidRPr="00CE1271">
        <w:rPr>
          <w:sz w:val="22"/>
          <w:szCs w:val="22"/>
        </w:rPr>
        <w:t xml:space="preserve"> the mismatch in apparent deactivation in relation to current density and reaction rate.</w:t>
      </w:r>
    </w:p>
    <w:p w14:paraId="7CD1BFC6" w14:textId="77777777" w:rsidR="00C1791D" w:rsidRPr="00CE1271" w:rsidRDefault="00C1791D" w:rsidP="000F1A8F">
      <w:pPr>
        <w:spacing w:line="480" w:lineRule="auto"/>
        <w:jc w:val="both"/>
        <w:rPr>
          <w:sz w:val="22"/>
          <w:szCs w:val="22"/>
        </w:rPr>
      </w:pPr>
    </w:p>
    <w:p w14:paraId="79213F2A" w14:textId="55C0AB7B" w:rsidR="00B4593A" w:rsidRPr="00CE1271" w:rsidRDefault="00B4593A" w:rsidP="000F1A8F">
      <w:pPr>
        <w:spacing w:line="480" w:lineRule="auto"/>
        <w:jc w:val="both"/>
        <w:rPr>
          <w:sz w:val="22"/>
          <w:szCs w:val="22"/>
        </w:rPr>
      </w:pPr>
      <w:r w:rsidRPr="00CE1271">
        <w:rPr>
          <w:sz w:val="22"/>
          <w:szCs w:val="22"/>
        </w:rPr>
        <w:t>However, this is highly misleading, the reason for this apparent high durability of the low spread catalysts is that deactivation is not a function of current density</w:t>
      </w:r>
      <w:r w:rsidR="00EC0287" w:rsidRPr="00CE1271">
        <w:rPr>
          <w:sz w:val="22"/>
          <w:szCs w:val="22"/>
        </w:rPr>
        <w:t xml:space="preserve"> normalized by surface area</w:t>
      </w:r>
      <w:r w:rsidR="004D487B" w:rsidRPr="00CE1271">
        <w:rPr>
          <w:sz w:val="22"/>
          <w:szCs w:val="22"/>
        </w:rPr>
        <w:t xml:space="preserve"> or loading mass</w:t>
      </w:r>
      <w:r w:rsidRPr="00CE1271">
        <w:rPr>
          <w:sz w:val="22"/>
          <w:szCs w:val="22"/>
        </w:rPr>
        <w:t>, but of current</w:t>
      </w:r>
      <w:r w:rsidR="004D487B" w:rsidRPr="00CE1271">
        <w:rPr>
          <w:sz w:val="22"/>
          <w:szCs w:val="22"/>
        </w:rPr>
        <w:t xml:space="preserve"> itself</w:t>
      </w:r>
      <w:r w:rsidR="00F97B31" w:rsidRPr="00CE1271">
        <w:rPr>
          <w:sz w:val="22"/>
          <w:szCs w:val="22"/>
        </w:rPr>
        <w:t xml:space="preserve">, i.e. absolute number of electrons consumed </w:t>
      </w:r>
      <w:r w:rsidR="001A799F" w:rsidRPr="00CE1271">
        <w:rPr>
          <w:sz w:val="22"/>
          <w:szCs w:val="22"/>
        </w:rPr>
        <w:t xml:space="preserve">to </w:t>
      </w:r>
      <w:r w:rsidR="00F97B31" w:rsidRPr="00CE1271">
        <w:rPr>
          <w:sz w:val="22"/>
          <w:szCs w:val="22"/>
        </w:rPr>
        <w:t>drive the reaction</w:t>
      </w:r>
      <w:r w:rsidRPr="00CE1271">
        <w:rPr>
          <w:sz w:val="22"/>
          <w:szCs w:val="22"/>
        </w:rPr>
        <w:t xml:space="preserve">. </w:t>
      </w:r>
    </w:p>
    <w:p w14:paraId="76253382" w14:textId="014A936F" w:rsidR="00B4593A" w:rsidRPr="00CE1271" w:rsidRDefault="00B4593A" w:rsidP="000F1A8F">
      <w:pPr>
        <w:spacing w:line="480" w:lineRule="auto"/>
        <w:jc w:val="both"/>
        <w:rPr>
          <w:sz w:val="22"/>
          <w:szCs w:val="22"/>
        </w:rPr>
      </w:pPr>
      <w:r w:rsidRPr="00CE1271">
        <w:rPr>
          <w:sz w:val="22"/>
          <w:szCs w:val="22"/>
        </w:rPr>
        <w:t xml:space="preserve">In the understanding that these catalysts have the same </w:t>
      </w:r>
      <w:r w:rsidR="00210B17" w:rsidRPr="00CE1271">
        <w:rPr>
          <w:sz w:val="22"/>
          <w:szCs w:val="22"/>
        </w:rPr>
        <w:t xml:space="preserve">mass </w:t>
      </w:r>
      <w:r w:rsidRPr="00CE1271">
        <w:rPr>
          <w:sz w:val="22"/>
          <w:szCs w:val="22"/>
        </w:rPr>
        <w:t xml:space="preserve">loading, durability </w:t>
      </w:r>
      <w:r w:rsidR="0069398C" w:rsidRPr="00CE1271">
        <w:rPr>
          <w:sz w:val="22"/>
          <w:szCs w:val="22"/>
        </w:rPr>
        <w:t>should be</w:t>
      </w:r>
      <w:r w:rsidRPr="00CE1271">
        <w:rPr>
          <w:sz w:val="22"/>
          <w:szCs w:val="22"/>
        </w:rPr>
        <w:t xml:space="preserve"> governed mostly by the dissolution of catalytically active species over time, which is mediated by the absolute current measured (and in turn, this being proportional to a number of equivalents of oxygen, in this case). As it happens, the </w:t>
      </w:r>
      <w:r w:rsidR="00210B17" w:rsidRPr="00CE1271">
        <w:rPr>
          <w:sz w:val="22"/>
          <w:szCs w:val="22"/>
        </w:rPr>
        <w:t>electro</w:t>
      </w:r>
      <w:r w:rsidRPr="00CE1271">
        <w:rPr>
          <w:sz w:val="22"/>
          <w:szCs w:val="22"/>
        </w:rPr>
        <w:t xml:space="preserve">catalysts </w:t>
      </w:r>
      <w:r w:rsidR="00210B17" w:rsidRPr="00CE1271">
        <w:rPr>
          <w:sz w:val="22"/>
          <w:szCs w:val="22"/>
        </w:rPr>
        <w:t xml:space="preserve">spread </w:t>
      </w:r>
      <w:r w:rsidRPr="00CE1271">
        <w:rPr>
          <w:sz w:val="22"/>
          <w:szCs w:val="22"/>
        </w:rPr>
        <w:t>with low</w:t>
      </w:r>
      <w:r w:rsidR="00210B17" w:rsidRPr="00CE1271">
        <w:rPr>
          <w:sz w:val="22"/>
          <w:szCs w:val="22"/>
        </w:rPr>
        <w:t>er</w:t>
      </w:r>
      <w:r w:rsidRPr="00CE1271">
        <w:rPr>
          <w:sz w:val="22"/>
          <w:szCs w:val="22"/>
        </w:rPr>
        <w:t xml:space="preserve"> area seem</w:t>
      </w:r>
      <w:r w:rsidR="00DD6715" w:rsidRPr="00CE1271">
        <w:rPr>
          <w:sz w:val="22"/>
          <w:szCs w:val="22"/>
        </w:rPr>
        <w:t>s</w:t>
      </w:r>
      <w:r w:rsidRPr="00CE1271">
        <w:rPr>
          <w:sz w:val="22"/>
          <w:szCs w:val="22"/>
        </w:rPr>
        <w:t xml:space="preserve"> more durable because the active sites stacked on top of each other, resulting in roughly the same number of active sites </w:t>
      </w:r>
      <w:r w:rsidR="00DD6715" w:rsidRPr="00CE1271">
        <w:rPr>
          <w:sz w:val="22"/>
          <w:szCs w:val="22"/>
        </w:rPr>
        <w:t xml:space="preserve">always </w:t>
      </w:r>
      <w:r w:rsidRPr="00CE1271">
        <w:rPr>
          <w:sz w:val="22"/>
          <w:szCs w:val="22"/>
        </w:rPr>
        <w:t>being exposed to the electrolyte at a given point in time</w:t>
      </w:r>
      <w:r w:rsidR="0058590C" w:rsidRPr="00CE1271">
        <w:rPr>
          <w:sz w:val="22"/>
          <w:szCs w:val="22"/>
        </w:rPr>
        <w:t xml:space="preserve"> and being subject to lower current</w:t>
      </w:r>
      <w:r w:rsidR="0083190F" w:rsidRPr="00CE1271">
        <w:rPr>
          <w:sz w:val="22"/>
          <w:szCs w:val="22"/>
        </w:rPr>
        <w:t>, as illustrated in Figure 4 c)</w:t>
      </w:r>
      <w:r w:rsidRPr="00CE1271">
        <w:rPr>
          <w:sz w:val="22"/>
          <w:szCs w:val="22"/>
        </w:rPr>
        <w:t xml:space="preserve">. This creates an apparent tradeoff between activity and durability that is not mediated in any way by the </w:t>
      </w:r>
      <w:r w:rsidR="006B08DC" w:rsidRPr="00CE1271">
        <w:rPr>
          <w:sz w:val="22"/>
          <w:szCs w:val="22"/>
        </w:rPr>
        <w:t>chemical</w:t>
      </w:r>
      <w:r w:rsidRPr="00CE1271">
        <w:rPr>
          <w:sz w:val="22"/>
          <w:szCs w:val="22"/>
        </w:rPr>
        <w:t xml:space="preserve"> properties of the electrocatalytically active species, but rather purely by their spatial distribution </w:t>
      </w:r>
      <w:r w:rsidR="0007256C" w:rsidRPr="00CE1271">
        <w:rPr>
          <w:sz w:val="22"/>
          <w:szCs w:val="22"/>
        </w:rPr>
        <w:t>on</w:t>
      </w:r>
      <w:r w:rsidRPr="00CE1271">
        <w:rPr>
          <w:sz w:val="22"/>
          <w:szCs w:val="22"/>
        </w:rPr>
        <w:t xml:space="preserve"> the substrate</w:t>
      </w:r>
      <w:r w:rsidR="006B08DC" w:rsidRPr="00CE1271">
        <w:rPr>
          <w:sz w:val="22"/>
          <w:szCs w:val="22"/>
        </w:rPr>
        <w:t xml:space="preserve"> surface</w:t>
      </w:r>
      <w:r w:rsidRPr="00CE1271">
        <w:rPr>
          <w:sz w:val="22"/>
          <w:szCs w:val="22"/>
        </w:rPr>
        <w:t xml:space="preserve">. </w:t>
      </w:r>
      <w:r w:rsidR="00DD6715" w:rsidRPr="00CE1271">
        <w:rPr>
          <w:sz w:val="22"/>
          <w:szCs w:val="22"/>
        </w:rPr>
        <w:t>In practice, t</w:t>
      </w:r>
      <w:r w:rsidRPr="00CE1271">
        <w:rPr>
          <w:sz w:val="22"/>
          <w:szCs w:val="22"/>
        </w:rPr>
        <w:t>his</w:t>
      </w:r>
      <w:r w:rsidR="00DD6715" w:rsidRPr="00CE1271">
        <w:rPr>
          <w:sz w:val="22"/>
          <w:szCs w:val="22"/>
        </w:rPr>
        <w:t xml:space="preserve"> </w:t>
      </w:r>
      <w:r w:rsidRPr="00CE1271">
        <w:rPr>
          <w:sz w:val="22"/>
          <w:szCs w:val="22"/>
        </w:rPr>
        <w:t xml:space="preserve">means that researchers also cannot blindly normalize by catalyst mass loading unless they can ensure that the spatial distribution of the catalyst across all samples is the same. In fact, even if that were to be the case, there are reports of how in some </w:t>
      </w:r>
      <w:r w:rsidR="00FF742C" w:rsidRPr="00CE1271">
        <w:rPr>
          <w:sz w:val="22"/>
          <w:szCs w:val="22"/>
        </w:rPr>
        <w:t>electro</w:t>
      </w:r>
      <w:r w:rsidRPr="00CE1271">
        <w:rPr>
          <w:sz w:val="22"/>
          <w:szCs w:val="22"/>
        </w:rPr>
        <w:t>catalysts</w:t>
      </w:r>
      <w:r w:rsidR="00FF742C" w:rsidRPr="00CE1271">
        <w:rPr>
          <w:sz w:val="22"/>
          <w:szCs w:val="22"/>
        </w:rPr>
        <w:t>,</w:t>
      </w:r>
      <w:r w:rsidRPr="00CE1271">
        <w:rPr>
          <w:sz w:val="22"/>
          <w:szCs w:val="22"/>
        </w:rPr>
        <w:t xml:space="preserve"> particularly Fe-containing catalysts</w:t>
      </w:r>
      <w:r w:rsidR="00FF742C" w:rsidRPr="00CE1271">
        <w:rPr>
          <w:sz w:val="22"/>
          <w:szCs w:val="22"/>
        </w:rPr>
        <w:t>,</w:t>
      </w:r>
      <w:r w:rsidRPr="00CE1271">
        <w:rPr>
          <w:sz w:val="22"/>
          <w:szCs w:val="22"/>
        </w:rPr>
        <w:t xml:space="preserve"> porosity can impose mass transfer limitations</w:t>
      </w:r>
      <w:r w:rsidR="00FE3C5D" w:rsidRPr="00CE1271">
        <w:rPr>
          <w:sz w:val="22"/>
          <w:szCs w:val="22"/>
        </w:rPr>
        <w:t xml:space="preserve"> (even at very low metal loading)</w:t>
      </w:r>
      <w:r w:rsidRPr="00CE1271">
        <w:rPr>
          <w:sz w:val="22"/>
          <w:szCs w:val="22"/>
        </w:rPr>
        <w:t xml:space="preserve"> that can obfuscate activity under certain conditions, such as elevated temperature</w:t>
      </w:r>
      <w:r w:rsidR="00F50B43" w:rsidRPr="00CE1271">
        <w:rPr>
          <w:sz w:val="22"/>
          <w:szCs w:val="22"/>
          <w:vertAlign w:val="superscript"/>
        </w:rPr>
        <w:t>40</w:t>
      </w:r>
      <w:r w:rsidRPr="00CE1271">
        <w:rPr>
          <w:sz w:val="22"/>
          <w:szCs w:val="22"/>
        </w:rPr>
        <w:t>.</w:t>
      </w:r>
      <w:r w:rsidR="0007256C" w:rsidRPr="00CE1271">
        <w:rPr>
          <w:sz w:val="22"/>
          <w:szCs w:val="22"/>
        </w:rPr>
        <w:t xml:space="preserve"> </w:t>
      </w:r>
      <w:r w:rsidRPr="00CE1271">
        <w:rPr>
          <w:sz w:val="22"/>
          <w:szCs w:val="22"/>
        </w:rPr>
        <w:t xml:space="preserve">Although normalizing by ECSA may seem tempting, its determination </w:t>
      </w:r>
      <w:r w:rsidR="002B0E57" w:rsidRPr="00CE1271">
        <w:rPr>
          <w:sz w:val="22"/>
          <w:szCs w:val="22"/>
        </w:rPr>
        <w:t>requires careful consideration</w:t>
      </w:r>
      <w:r w:rsidR="00D65240" w:rsidRPr="00CE1271">
        <w:rPr>
          <w:sz w:val="22"/>
          <w:szCs w:val="22"/>
          <w:vertAlign w:val="superscript"/>
        </w:rPr>
        <w:t>3</w:t>
      </w:r>
      <w:r w:rsidR="00F50B43" w:rsidRPr="00CE1271">
        <w:rPr>
          <w:sz w:val="22"/>
          <w:szCs w:val="22"/>
          <w:vertAlign w:val="superscript"/>
        </w:rPr>
        <w:t>3</w:t>
      </w:r>
      <w:r w:rsidRPr="00CE1271">
        <w:rPr>
          <w:sz w:val="22"/>
          <w:szCs w:val="22"/>
        </w:rPr>
        <w:t xml:space="preserve"> and comparison across many different electrocatalyst compositions would probably lend itself to </w:t>
      </w:r>
      <w:r w:rsidR="00097F15" w:rsidRPr="00CE1271">
        <w:rPr>
          <w:sz w:val="22"/>
          <w:szCs w:val="22"/>
        </w:rPr>
        <w:t>inaccuracies</w:t>
      </w:r>
      <w:r w:rsidRPr="00CE1271">
        <w:rPr>
          <w:sz w:val="22"/>
          <w:szCs w:val="22"/>
        </w:rPr>
        <w:t xml:space="preserve">. </w:t>
      </w:r>
    </w:p>
    <w:p w14:paraId="434BB2B2" w14:textId="105D40F1" w:rsidR="00963E67" w:rsidRPr="00CE1271" w:rsidRDefault="00963E67" w:rsidP="000F1A8F">
      <w:pPr>
        <w:spacing w:line="480" w:lineRule="auto"/>
        <w:jc w:val="both"/>
        <w:rPr>
          <w:sz w:val="22"/>
          <w:szCs w:val="22"/>
        </w:rPr>
      </w:pPr>
      <w:r w:rsidRPr="00CE1271">
        <w:rPr>
          <w:sz w:val="22"/>
          <w:szCs w:val="22"/>
        </w:rPr>
        <w:t xml:space="preserve">Regarding choosing target metric (s) for optimization, essentially finding an electrocatalyst that achieves the highest current at a given potential should be indicative of better activity. </w:t>
      </w:r>
      <w:r w:rsidR="005F6F8B" w:rsidRPr="00CE1271">
        <w:rPr>
          <w:sz w:val="22"/>
          <w:szCs w:val="22"/>
        </w:rPr>
        <w:t xml:space="preserve">An </w:t>
      </w:r>
      <w:r w:rsidRPr="00CE1271">
        <w:rPr>
          <w:sz w:val="22"/>
          <w:szCs w:val="22"/>
        </w:rPr>
        <w:t xml:space="preserve">iR correction should be applied to the measurement to compensate for the resistance of the electrolyte, </w:t>
      </w:r>
      <w:r w:rsidRPr="00CE1271">
        <w:rPr>
          <w:sz w:val="22"/>
          <w:szCs w:val="22"/>
        </w:rPr>
        <w:lastRenderedPageBreak/>
        <w:t>we echo the opinion of</w:t>
      </w:r>
      <w:r w:rsidR="000A461A" w:rsidRPr="00CE1271">
        <w:rPr>
          <w:sz w:val="22"/>
          <w:szCs w:val="22"/>
        </w:rPr>
        <w:t xml:space="preserve"> previous work</w:t>
      </w:r>
      <w:r w:rsidR="00F50B43" w:rsidRPr="00CE1271">
        <w:rPr>
          <w:sz w:val="22"/>
          <w:szCs w:val="22"/>
          <w:vertAlign w:val="superscript"/>
        </w:rPr>
        <w:t>41</w:t>
      </w:r>
      <w:r w:rsidRPr="00CE1271">
        <w:rPr>
          <w:sz w:val="22"/>
          <w:szCs w:val="22"/>
        </w:rPr>
        <w:t xml:space="preserve"> emphasizing the importance of not compensating the resistance increase that comes </w:t>
      </w:r>
      <w:proofErr w:type="gramStart"/>
      <w:r w:rsidRPr="00CE1271">
        <w:rPr>
          <w:sz w:val="22"/>
          <w:szCs w:val="22"/>
        </w:rPr>
        <w:t>as a consequence of</w:t>
      </w:r>
      <w:proofErr w:type="gramEnd"/>
      <w:r w:rsidRPr="00CE1271">
        <w:rPr>
          <w:sz w:val="22"/>
          <w:szCs w:val="22"/>
        </w:rPr>
        <w:t xml:space="preserve"> the catalyst layer, unless one is exclusively interested in studying the </w:t>
      </w:r>
      <w:r w:rsidRPr="00CE1271">
        <w:rPr>
          <w:i/>
          <w:iCs/>
          <w:sz w:val="22"/>
          <w:szCs w:val="22"/>
        </w:rPr>
        <w:t>intrinsic activity</w:t>
      </w:r>
      <w:r w:rsidRPr="00CE1271">
        <w:rPr>
          <w:sz w:val="22"/>
          <w:szCs w:val="22"/>
        </w:rPr>
        <w:t xml:space="preserve"> of a given </w:t>
      </w:r>
      <w:r w:rsidR="00FF742C" w:rsidRPr="00CE1271">
        <w:rPr>
          <w:sz w:val="22"/>
          <w:szCs w:val="22"/>
        </w:rPr>
        <w:t>electro</w:t>
      </w:r>
      <w:r w:rsidRPr="00CE1271">
        <w:rPr>
          <w:sz w:val="22"/>
          <w:szCs w:val="22"/>
        </w:rPr>
        <w:t xml:space="preserve">catalyst. </w:t>
      </w:r>
    </w:p>
    <w:p w14:paraId="0A3765CD" w14:textId="18C3147E" w:rsidR="00465156" w:rsidRDefault="00963E67" w:rsidP="000F1A8F">
      <w:pPr>
        <w:spacing w:line="480" w:lineRule="auto"/>
        <w:jc w:val="both"/>
        <w:rPr>
          <w:sz w:val="22"/>
          <w:szCs w:val="22"/>
        </w:rPr>
      </w:pPr>
      <w:r w:rsidRPr="00CE1271">
        <w:rPr>
          <w:sz w:val="22"/>
          <w:szCs w:val="22"/>
        </w:rPr>
        <w:t>Based on the current state of the literature, it should be a priority to find not only active but also durable catalysts as well</w:t>
      </w:r>
      <w:r w:rsidR="0067334D" w:rsidRPr="00CE1271">
        <w:rPr>
          <w:sz w:val="22"/>
          <w:szCs w:val="22"/>
        </w:rPr>
        <w:t xml:space="preserve">. </w:t>
      </w:r>
      <w:r w:rsidR="00B65BDC" w:rsidRPr="00CE1271">
        <w:rPr>
          <w:sz w:val="22"/>
          <w:szCs w:val="22"/>
        </w:rPr>
        <w:t>Although not exhaustive, Table 1 lists some of the metrics that can be used to optimize catalyst performance, each with their own pros and cons. Other metrics can be used, so long as they accurately represent the target property that is being optimized.</w:t>
      </w:r>
    </w:p>
    <w:p w14:paraId="26818868" w14:textId="77777777" w:rsidR="002D088A" w:rsidRPr="00CE1271" w:rsidRDefault="002D088A" w:rsidP="000F1A8F">
      <w:pPr>
        <w:spacing w:line="480" w:lineRule="auto"/>
        <w:jc w:val="both"/>
        <w:rPr>
          <w:sz w:val="22"/>
          <w:szCs w:val="22"/>
        </w:rPr>
      </w:pPr>
    </w:p>
    <w:p w14:paraId="5DC2C427" w14:textId="1268C042" w:rsidR="00B65BDC" w:rsidRPr="00CE1271" w:rsidRDefault="00B65BDC" w:rsidP="000F1A8F">
      <w:pPr>
        <w:spacing w:line="480" w:lineRule="auto"/>
        <w:jc w:val="both"/>
        <w:rPr>
          <w:sz w:val="22"/>
          <w:szCs w:val="22"/>
        </w:rPr>
      </w:pPr>
      <w:r w:rsidRPr="00CE1271">
        <w:rPr>
          <w:b/>
          <w:bCs/>
          <w:sz w:val="22"/>
          <w:szCs w:val="22"/>
        </w:rPr>
        <w:t>Table 1.</w:t>
      </w:r>
      <w:r w:rsidRPr="00CE1271">
        <w:rPr>
          <w:sz w:val="22"/>
          <w:szCs w:val="22"/>
        </w:rPr>
        <w:t xml:space="preserve"> Useful metrics for optimization of OER electrocatalyst performance.</w:t>
      </w:r>
    </w:p>
    <w:tbl>
      <w:tblPr>
        <w:tblStyle w:val="af"/>
        <w:tblW w:w="9715" w:type="dxa"/>
        <w:tblLook w:val="04A0" w:firstRow="1" w:lastRow="0" w:firstColumn="1" w:lastColumn="0" w:noHBand="0" w:noVBand="1"/>
      </w:tblPr>
      <w:tblGrid>
        <w:gridCol w:w="3685"/>
        <w:gridCol w:w="6030"/>
      </w:tblGrid>
      <w:tr w:rsidR="00B65BDC" w:rsidRPr="00CE1271" w14:paraId="03A98AD9" w14:textId="77777777" w:rsidTr="00F40D22">
        <w:tc>
          <w:tcPr>
            <w:tcW w:w="3685" w:type="dxa"/>
          </w:tcPr>
          <w:p w14:paraId="74D2597A" w14:textId="77777777" w:rsidR="00B65BDC" w:rsidRPr="00CE1271" w:rsidRDefault="00B65BDC" w:rsidP="000F1A8F">
            <w:pPr>
              <w:spacing w:line="480" w:lineRule="auto"/>
              <w:jc w:val="both"/>
              <w:rPr>
                <w:b/>
                <w:bCs/>
                <w:sz w:val="22"/>
                <w:szCs w:val="22"/>
              </w:rPr>
            </w:pPr>
            <w:r w:rsidRPr="00CE1271">
              <w:rPr>
                <w:b/>
                <w:bCs/>
                <w:sz w:val="22"/>
                <w:szCs w:val="22"/>
              </w:rPr>
              <w:t>Metric</w:t>
            </w:r>
          </w:p>
        </w:tc>
        <w:tc>
          <w:tcPr>
            <w:tcW w:w="6030" w:type="dxa"/>
          </w:tcPr>
          <w:p w14:paraId="44BF8DA3" w14:textId="77777777" w:rsidR="00B65BDC" w:rsidRPr="00CE1271" w:rsidRDefault="00B65BDC" w:rsidP="000F1A8F">
            <w:pPr>
              <w:spacing w:line="480" w:lineRule="auto"/>
              <w:jc w:val="both"/>
              <w:rPr>
                <w:b/>
                <w:bCs/>
                <w:sz w:val="22"/>
                <w:szCs w:val="22"/>
              </w:rPr>
            </w:pPr>
            <w:r w:rsidRPr="00CE1271">
              <w:rPr>
                <w:b/>
                <w:bCs/>
                <w:sz w:val="22"/>
                <w:szCs w:val="22"/>
              </w:rPr>
              <w:t>Pros, cons and considerations</w:t>
            </w:r>
          </w:p>
        </w:tc>
      </w:tr>
      <w:tr w:rsidR="00B65BDC" w:rsidRPr="00CE1271" w14:paraId="2A5DFFDB" w14:textId="77777777" w:rsidTr="00F40D22">
        <w:tc>
          <w:tcPr>
            <w:tcW w:w="3685" w:type="dxa"/>
          </w:tcPr>
          <w:p w14:paraId="1A405823" w14:textId="77777777" w:rsidR="00B65BDC" w:rsidRPr="00CE1271" w:rsidRDefault="00B65BDC" w:rsidP="005030E5">
            <w:pPr>
              <w:spacing w:line="276" w:lineRule="auto"/>
              <w:jc w:val="both"/>
              <w:rPr>
                <w:sz w:val="22"/>
                <w:szCs w:val="22"/>
              </w:rPr>
            </w:pPr>
            <w:r w:rsidRPr="00CE1271">
              <w:rPr>
                <w:sz w:val="22"/>
                <w:szCs w:val="22"/>
              </w:rPr>
              <w:t>Area below CP graph at target current density for a window of time</w:t>
            </w:r>
          </w:p>
        </w:tc>
        <w:tc>
          <w:tcPr>
            <w:tcW w:w="6030" w:type="dxa"/>
          </w:tcPr>
          <w:p w14:paraId="3181FE1F" w14:textId="15664F7F" w:rsidR="00B65BDC" w:rsidRPr="00CE1271" w:rsidRDefault="00B65BDC" w:rsidP="005030E5">
            <w:pPr>
              <w:pStyle w:val="a9"/>
              <w:numPr>
                <w:ilvl w:val="0"/>
                <w:numId w:val="2"/>
              </w:numPr>
              <w:spacing w:line="276" w:lineRule="auto"/>
              <w:jc w:val="both"/>
              <w:rPr>
                <w:sz w:val="22"/>
                <w:szCs w:val="22"/>
              </w:rPr>
            </w:pPr>
            <w:r w:rsidRPr="00CE1271">
              <w:rPr>
                <w:sz w:val="22"/>
                <w:szCs w:val="22"/>
              </w:rPr>
              <w:t xml:space="preserve">Smaller </w:t>
            </w:r>
            <w:proofErr w:type="gramStart"/>
            <w:r w:rsidRPr="00CE1271">
              <w:rPr>
                <w:sz w:val="22"/>
                <w:szCs w:val="22"/>
              </w:rPr>
              <w:t>area</w:t>
            </w:r>
            <w:proofErr w:type="gramEnd"/>
            <w:r w:rsidRPr="00CE1271">
              <w:rPr>
                <w:sz w:val="22"/>
                <w:szCs w:val="22"/>
              </w:rPr>
              <w:t xml:space="preserve"> for a window of time is indicative of </w:t>
            </w:r>
            <w:r w:rsidR="008D4F0F" w:rsidRPr="00CE1271">
              <w:rPr>
                <w:sz w:val="22"/>
                <w:szCs w:val="22"/>
              </w:rPr>
              <w:t xml:space="preserve">higher </w:t>
            </w:r>
            <w:r w:rsidRPr="00CE1271">
              <w:rPr>
                <w:sz w:val="22"/>
                <w:szCs w:val="22"/>
              </w:rPr>
              <w:t>durability and lower overpotential</w:t>
            </w:r>
          </w:p>
          <w:p w14:paraId="62FEC912" w14:textId="77777777" w:rsidR="00B65BDC" w:rsidRPr="00CE1271" w:rsidRDefault="00B65BDC" w:rsidP="005030E5">
            <w:pPr>
              <w:pStyle w:val="a9"/>
              <w:numPr>
                <w:ilvl w:val="0"/>
                <w:numId w:val="5"/>
              </w:numPr>
              <w:spacing w:line="276" w:lineRule="auto"/>
              <w:jc w:val="both"/>
              <w:rPr>
                <w:sz w:val="22"/>
                <w:szCs w:val="22"/>
              </w:rPr>
            </w:pPr>
            <w:r w:rsidRPr="00CE1271">
              <w:rPr>
                <w:sz w:val="22"/>
                <w:szCs w:val="22"/>
              </w:rPr>
              <w:t>Represents overpotential and durability</w:t>
            </w:r>
          </w:p>
          <w:p w14:paraId="6374A143" w14:textId="77777777" w:rsidR="00B65BDC" w:rsidRPr="00CE1271" w:rsidRDefault="00B65BDC" w:rsidP="005030E5">
            <w:pPr>
              <w:pStyle w:val="a9"/>
              <w:numPr>
                <w:ilvl w:val="0"/>
                <w:numId w:val="3"/>
              </w:numPr>
              <w:spacing w:line="276" w:lineRule="auto"/>
              <w:jc w:val="both"/>
              <w:rPr>
                <w:sz w:val="22"/>
                <w:szCs w:val="22"/>
              </w:rPr>
            </w:pPr>
            <w:r w:rsidRPr="00CE1271">
              <w:rPr>
                <w:sz w:val="22"/>
                <w:szCs w:val="22"/>
              </w:rPr>
              <w:t>Time consuming</w:t>
            </w:r>
          </w:p>
          <w:p w14:paraId="0C5B6C7F" w14:textId="77777777" w:rsidR="00B65BDC" w:rsidRPr="00CE1271" w:rsidRDefault="00B65BDC" w:rsidP="005030E5">
            <w:pPr>
              <w:pStyle w:val="a9"/>
              <w:numPr>
                <w:ilvl w:val="0"/>
                <w:numId w:val="3"/>
              </w:numPr>
              <w:spacing w:line="276" w:lineRule="auto"/>
              <w:jc w:val="both"/>
              <w:rPr>
                <w:sz w:val="22"/>
                <w:szCs w:val="22"/>
              </w:rPr>
            </w:pPr>
            <w:r w:rsidRPr="00CE1271">
              <w:rPr>
                <w:sz w:val="22"/>
                <w:szCs w:val="22"/>
              </w:rPr>
              <w:t>Short measurement times are prone to misinterpretation</w:t>
            </w:r>
          </w:p>
        </w:tc>
      </w:tr>
      <w:tr w:rsidR="00B65BDC" w:rsidRPr="00CE1271" w14:paraId="4EFD6783" w14:textId="77777777" w:rsidTr="00F40D22">
        <w:tc>
          <w:tcPr>
            <w:tcW w:w="3685" w:type="dxa"/>
          </w:tcPr>
          <w:p w14:paraId="732D457A" w14:textId="77777777" w:rsidR="00B65BDC" w:rsidRPr="00CE1271" w:rsidRDefault="00B65BDC" w:rsidP="005030E5">
            <w:pPr>
              <w:spacing w:line="276" w:lineRule="auto"/>
              <w:jc w:val="both"/>
              <w:rPr>
                <w:sz w:val="22"/>
                <w:szCs w:val="22"/>
              </w:rPr>
            </w:pPr>
            <w:r w:rsidRPr="00CE1271">
              <w:rPr>
                <w:sz w:val="22"/>
                <w:szCs w:val="22"/>
              </w:rPr>
              <w:t>Area below CA graph at a fixed potential for a window of time</w:t>
            </w:r>
          </w:p>
        </w:tc>
        <w:tc>
          <w:tcPr>
            <w:tcW w:w="6030" w:type="dxa"/>
          </w:tcPr>
          <w:p w14:paraId="2ACF601E" w14:textId="11046E17" w:rsidR="00B65BDC" w:rsidRPr="00CE1271" w:rsidRDefault="00B65BDC" w:rsidP="005030E5">
            <w:pPr>
              <w:pStyle w:val="a9"/>
              <w:numPr>
                <w:ilvl w:val="0"/>
                <w:numId w:val="4"/>
              </w:numPr>
              <w:spacing w:line="276" w:lineRule="auto"/>
              <w:jc w:val="both"/>
              <w:rPr>
                <w:sz w:val="22"/>
                <w:szCs w:val="22"/>
              </w:rPr>
            </w:pPr>
            <w:r w:rsidRPr="00CE1271">
              <w:rPr>
                <w:sz w:val="22"/>
                <w:szCs w:val="22"/>
              </w:rPr>
              <w:t xml:space="preserve">Larger area means better performance and </w:t>
            </w:r>
            <w:r w:rsidR="008D4F0F" w:rsidRPr="00CE1271">
              <w:rPr>
                <w:sz w:val="22"/>
                <w:szCs w:val="22"/>
              </w:rPr>
              <w:t xml:space="preserve">higher </w:t>
            </w:r>
            <w:r w:rsidRPr="00CE1271">
              <w:rPr>
                <w:sz w:val="22"/>
                <w:szCs w:val="22"/>
              </w:rPr>
              <w:t>durability</w:t>
            </w:r>
          </w:p>
          <w:p w14:paraId="70A7300B" w14:textId="77777777" w:rsidR="00B65BDC" w:rsidRPr="00CE1271" w:rsidRDefault="00B65BDC" w:rsidP="005030E5">
            <w:pPr>
              <w:pStyle w:val="a9"/>
              <w:numPr>
                <w:ilvl w:val="0"/>
                <w:numId w:val="5"/>
              </w:numPr>
              <w:spacing w:line="276" w:lineRule="auto"/>
              <w:jc w:val="both"/>
              <w:rPr>
                <w:sz w:val="22"/>
                <w:szCs w:val="22"/>
              </w:rPr>
            </w:pPr>
            <w:r w:rsidRPr="00CE1271">
              <w:rPr>
                <w:sz w:val="22"/>
                <w:szCs w:val="22"/>
              </w:rPr>
              <w:t>Easy to interpret, as loss of activity is arguably due to active site dissolution and substrate passivation</w:t>
            </w:r>
          </w:p>
          <w:p w14:paraId="58EB0B55" w14:textId="77777777" w:rsidR="00B65BDC" w:rsidRPr="00CE1271" w:rsidRDefault="00B65BDC" w:rsidP="005030E5">
            <w:pPr>
              <w:pStyle w:val="a9"/>
              <w:numPr>
                <w:ilvl w:val="0"/>
                <w:numId w:val="6"/>
              </w:numPr>
              <w:spacing w:line="276" w:lineRule="auto"/>
              <w:jc w:val="both"/>
              <w:rPr>
                <w:sz w:val="22"/>
                <w:szCs w:val="22"/>
              </w:rPr>
            </w:pPr>
            <w:r w:rsidRPr="00CE1271">
              <w:rPr>
                <w:sz w:val="22"/>
                <w:szCs w:val="22"/>
              </w:rPr>
              <w:t>Time consuming</w:t>
            </w:r>
          </w:p>
          <w:p w14:paraId="4C1EA71A" w14:textId="77777777" w:rsidR="00B65BDC" w:rsidRPr="00CE1271" w:rsidRDefault="00B65BDC" w:rsidP="005030E5">
            <w:pPr>
              <w:pStyle w:val="a9"/>
              <w:numPr>
                <w:ilvl w:val="0"/>
                <w:numId w:val="6"/>
              </w:numPr>
              <w:spacing w:line="276" w:lineRule="auto"/>
              <w:jc w:val="both"/>
              <w:rPr>
                <w:sz w:val="22"/>
                <w:szCs w:val="22"/>
              </w:rPr>
            </w:pPr>
            <w:r w:rsidRPr="00CE1271">
              <w:rPr>
                <w:sz w:val="22"/>
                <w:szCs w:val="22"/>
              </w:rPr>
              <w:t>Does not reflect the response to dynamic potential changes</w:t>
            </w:r>
          </w:p>
        </w:tc>
      </w:tr>
      <w:tr w:rsidR="00B65BDC" w:rsidRPr="00CE1271" w14:paraId="62DAF3A8" w14:textId="77777777" w:rsidTr="00F40D22">
        <w:tc>
          <w:tcPr>
            <w:tcW w:w="3685" w:type="dxa"/>
          </w:tcPr>
          <w:p w14:paraId="6A78E8F9" w14:textId="77777777" w:rsidR="00B65BDC" w:rsidRPr="00CE1271" w:rsidRDefault="00B65BDC" w:rsidP="005030E5">
            <w:pPr>
              <w:spacing w:line="276" w:lineRule="auto"/>
              <w:jc w:val="both"/>
              <w:rPr>
                <w:sz w:val="22"/>
                <w:szCs w:val="22"/>
              </w:rPr>
            </w:pPr>
            <w:r w:rsidRPr="00CE1271">
              <w:rPr>
                <w:sz w:val="22"/>
                <w:szCs w:val="22"/>
              </w:rPr>
              <w:t>Potential at target current density</w:t>
            </w:r>
          </w:p>
        </w:tc>
        <w:tc>
          <w:tcPr>
            <w:tcW w:w="6030" w:type="dxa"/>
          </w:tcPr>
          <w:p w14:paraId="3B8E973C" w14:textId="77777777" w:rsidR="00B65BDC" w:rsidRPr="00CE1271" w:rsidRDefault="00B65BDC" w:rsidP="005030E5">
            <w:pPr>
              <w:pStyle w:val="a9"/>
              <w:numPr>
                <w:ilvl w:val="0"/>
                <w:numId w:val="4"/>
              </w:numPr>
              <w:spacing w:line="276" w:lineRule="auto"/>
              <w:jc w:val="both"/>
              <w:rPr>
                <w:sz w:val="22"/>
                <w:szCs w:val="22"/>
              </w:rPr>
            </w:pPr>
            <w:r w:rsidRPr="00CE1271">
              <w:rPr>
                <w:sz w:val="22"/>
                <w:szCs w:val="22"/>
              </w:rPr>
              <w:t>Indicative of activity, lower potential required should indicate better activity</w:t>
            </w:r>
          </w:p>
          <w:p w14:paraId="684CBF85" w14:textId="77777777" w:rsidR="00B65BDC" w:rsidRPr="00CE1271" w:rsidRDefault="00B65BDC" w:rsidP="005030E5">
            <w:pPr>
              <w:pStyle w:val="a9"/>
              <w:numPr>
                <w:ilvl w:val="0"/>
                <w:numId w:val="5"/>
              </w:numPr>
              <w:spacing w:line="276" w:lineRule="auto"/>
              <w:jc w:val="both"/>
              <w:rPr>
                <w:sz w:val="22"/>
                <w:szCs w:val="22"/>
              </w:rPr>
            </w:pPr>
            <w:r w:rsidRPr="00CE1271">
              <w:rPr>
                <w:sz w:val="22"/>
                <w:szCs w:val="22"/>
              </w:rPr>
              <w:t>Fast to measure</w:t>
            </w:r>
          </w:p>
          <w:p w14:paraId="635C52A4" w14:textId="77777777" w:rsidR="00B65BDC" w:rsidRPr="00CE1271" w:rsidRDefault="00B65BDC" w:rsidP="005030E5">
            <w:pPr>
              <w:pStyle w:val="a9"/>
              <w:numPr>
                <w:ilvl w:val="0"/>
                <w:numId w:val="7"/>
              </w:numPr>
              <w:spacing w:line="276" w:lineRule="auto"/>
              <w:jc w:val="both"/>
              <w:rPr>
                <w:sz w:val="22"/>
                <w:szCs w:val="22"/>
              </w:rPr>
            </w:pPr>
            <w:r w:rsidRPr="00CE1271">
              <w:rPr>
                <w:sz w:val="22"/>
                <w:szCs w:val="22"/>
              </w:rPr>
              <w:t>Does not reflect durability in a meaningful way</w:t>
            </w:r>
          </w:p>
          <w:p w14:paraId="67DB4B0C" w14:textId="77777777" w:rsidR="00B65BDC" w:rsidRPr="00CE1271" w:rsidRDefault="00B65BDC" w:rsidP="005030E5">
            <w:pPr>
              <w:pStyle w:val="a9"/>
              <w:numPr>
                <w:ilvl w:val="0"/>
                <w:numId w:val="7"/>
              </w:numPr>
              <w:spacing w:line="276" w:lineRule="auto"/>
              <w:jc w:val="both"/>
              <w:rPr>
                <w:sz w:val="22"/>
                <w:szCs w:val="22"/>
              </w:rPr>
            </w:pPr>
            <w:r w:rsidRPr="00CE1271">
              <w:rPr>
                <w:sz w:val="22"/>
                <w:szCs w:val="22"/>
              </w:rPr>
              <w:t>Sensible to time-dependent changes on the catalyst surface, such as activation or agglomeration of catalyst</w:t>
            </w:r>
          </w:p>
        </w:tc>
      </w:tr>
      <w:tr w:rsidR="00B65BDC" w:rsidRPr="00CE1271" w14:paraId="73160A29" w14:textId="77777777" w:rsidTr="00F40D22">
        <w:tc>
          <w:tcPr>
            <w:tcW w:w="3685" w:type="dxa"/>
          </w:tcPr>
          <w:p w14:paraId="04C26E3E" w14:textId="64910466" w:rsidR="00B65BDC" w:rsidRPr="00CE1271" w:rsidRDefault="00DF4332" w:rsidP="005030E5">
            <w:pPr>
              <w:spacing w:line="276" w:lineRule="auto"/>
              <w:jc w:val="both"/>
              <w:rPr>
                <w:sz w:val="22"/>
                <w:szCs w:val="22"/>
              </w:rPr>
            </w:pPr>
            <w:r w:rsidRPr="00CE1271">
              <w:rPr>
                <w:sz w:val="22"/>
                <w:szCs w:val="22"/>
              </w:rPr>
              <w:t>Electrochemical Impedance Spectroscopy (EIS)</w:t>
            </w:r>
          </w:p>
        </w:tc>
        <w:tc>
          <w:tcPr>
            <w:tcW w:w="6030" w:type="dxa"/>
          </w:tcPr>
          <w:p w14:paraId="320BFDD1" w14:textId="79AFC174" w:rsidR="00B65BDC" w:rsidRPr="00CE1271" w:rsidRDefault="00B65BDC" w:rsidP="005030E5">
            <w:pPr>
              <w:pStyle w:val="a9"/>
              <w:numPr>
                <w:ilvl w:val="0"/>
                <w:numId w:val="8"/>
              </w:numPr>
              <w:spacing w:line="276" w:lineRule="auto"/>
              <w:jc w:val="both"/>
              <w:rPr>
                <w:sz w:val="22"/>
                <w:szCs w:val="22"/>
              </w:rPr>
            </w:pPr>
            <w:r w:rsidRPr="00CE1271">
              <w:rPr>
                <w:sz w:val="22"/>
                <w:szCs w:val="22"/>
              </w:rPr>
              <w:t>Essential for practical purposes, although electron transport is not equal to catalytic activity</w:t>
            </w:r>
          </w:p>
          <w:p w14:paraId="1F92DBFE" w14:textId="038F5EC8" w:rsidR="00DF4332" w:rsidRPr="00CE1271" w:rsidRDefault="00DF4332" w:rsidP="005030E5">
            <w:pPr>
              <w:pStyle w:val="a9"/>
              <w:numPr>
                <w:ilvl w:val="0"/>
                <w:numId w:val="8"/>
              </w:numPr>
              <w:spacing w:line="276" w:lineRule="auto"/>
              <w:jc w:val="both"/>
              <w:rPr>
                <w:sz w:val="22"/>
                <w:szCs w:val="22"/>
              </w:rPr>
            </w:pPr>
            <w:r w:rsidRPr="00CE1271">
              <w:rPr>
                <w:sz w:val="22"/>
                <w:szCs w:val="22"/>
              </w:rPr>
              <w:t>Can provide insight into surface area, surface roughness and stability.</w:t>
            </w:r>
          </w:p>
          <w:p w14:paraId="111504BC" w14:textId="28BAC5F5" w:rsidR="00B65BDC" w:rsidRPr="00CE1271" w:rsidRDefault="00B65BDC" w:rsidP="005030E5">
            <w:pPr>
              <w:pStyle w:val="a9"/>
              <w:numPr>
                <w:ilvl w:val="0"/>
                <w:numId w:val="8"/>
              </w:numPr>
              <w:spacing w:line="276" w:lineRule="auto"/>
              <w:jc w:val="both"/>
              <w:rPr>
                <w:b/>
                <w:bCs/>
                <w:sz w:val="22"/>
                <w:szCs w:val="22"/>
              </w:rPr>
            </w:pPr>
            <w:r w:rsidRPr="00CE1271">
              <w:rPr>
                <w:sz w:val="22"/>
                <w:szCs w:val="22"/>
              </w:rPr>
              <w:lastRenderedPageBreak/>
              <w:t>Essential if the aim goes beyond determination of intrinsic activity</w:t>
            </w:r>
          </w:p>
          <w:p w14:paraId="6E63508C" w14:textId="77777777" w:rsidR="00B65BDC" w:rsidRPr="00CE1271" w:rsidRDefault="00B65BDC" w:rsidP="005030E5">
            <w:pPr>
              <w:pStyle w:val="a9"/>
              <w:numPr>
                <w:ilvl w:val="0"/>
                <w:numId w:val="5"/>
              </w:numPr>
              <w:spacing w:line="276" w:lineRule="auto"/>
              <w:jc w:val="both"/>
              <w:rPr>
                <w:sz w:val="22"/>
                <w:szCs w:val="22"/>
              </w:rPr>
            </w:pPr>
            <w:r w:rsidRPr="00CE1271">
              <w:rPr>
                <w:sz w:val="22"/>
                <w:szCs w:val="22"/>
              </w:rPr>
              <w:t>Fast to measure</w:t>
            </w:r>
          </w:p>
        </w:tc>
      </w:tr>
    </w:tbl>
    <w:p w14:paraId="37931FC9" w14:textId="0EF5F5BA" w:rsidR="0085505B" w:rsidRPr="00CE1271" w:rsidRDefault="00B65BDC" w:rsidP="000F1A8F">
      <w:pPr>
        <w:spacing w:line="480" w:lineRule="auto"/>
        <w:jc w:val="both"/>
        <w:rPr>
          <w:b/>
          <w:bCs/>
          <w:sz w:val="22"/>
          <w:szCs w:val="22"/>
        </w:rPr>
      </w:pPr>
      <w:r w:rsidRPr="00CE1271">
        <w:rPr>
          <w:i/>
          <w:iCs/>
          <w:sz w:val="22"/>
          <w:szCs w:val="22"/>
        </w:rPr>
        <w:lastRenderedPageBreak/>
        <w:sym w:font="Symbol" w:char="F0B7"/>
      </w:r>
      <w:r w:rsidRPr="00CE1271">
        <w:rPr>
          <w:i/>
          <w:iCs/>
          <w:sz w:val="22"/>
          <w:szCs w:val="22"/>
        </w:rPr>
        <w:t xml:space="preserve"> = consideration, + = pro, - = con</w:t>
      </w:r>
    </w:p>
    <w:p w14:paraId="7D5D367D" w14:textId="77777777" w:rsidR="002D088A" w:rsidRDefault="002D088A" w:rsidP="000F1A8F">
      <w:pPr>
        <w:spacing w:line="480" w:lineRule="auto"/>
        <w:jc w:val="both"/>
        <w:rPr>
          <w:b/>
          <w:bCs/>
          <w:sz w:val="22"/>
          <w:szCs w:val="22"/>
        </w:rPr>
      </w:pPr>
    </w:p>
    <w:p w14:paraId="1919B00B" w14:textId="525AB84D" w:rsidR="00576B24" w:rsidRPr="00CE1271" w:rsidRDefault="00963E67" w:rsidP="000F1A8F">
      <w:pPr>
        <w:spacing w:line="480" w:lineRule="auto"/>
        <w:jc w:val="both"/>
        <w:rPr>
          <w:b/>
          <w:bCs/>
          <w:sz w:val="22"/>
          <w:szCs w:val="22"/>
        </w:rPr>
      </w:pPr>
      <w:r w:rsidRPr="00CE1271">
        <w:rPr>
          <w:b/>
          <w:bCs/>
          <w:sz w:val="22"/>
          <w:szCs w:val="22"/>
        </w:rPr>
        <w:t>Summary</w:t>
      </w:r>
    </w:p>
    <w:p w14:paraId="5B6ABC96" w14:textId="47B3B058" w:rsidR="00A941B9" w:rsidRPr="00CE1271" w:rsidRDefault="00A731DE" w:rsidP="000F1A8F">
      <w:pPr>
        <w:spacing w:line="480" w:lineRule="auto"/>
        <w:jc w:val="both"/>
        <w:rPr>
          <w:sz w:val="22"/>
          <w:szCs w:val="22"/>
        </w:rPr>
      </w:pPr>
      <w:r w:rsidRPr="00CE1271">
        <w:rPr>
          <w:sz w:val="22"/>
          <w:szCs w:val="22"/>
        </w:rPr>
        <w:t xml:space="preserve">In this </w:t>
      </w:r>
      <w:r w:rsidR="00465156" w:rsidRPr="00CE1271">
        <w:rPr>
          <w:rFonts w:hint="eastAsia"/>
          <w:sz w:val="22"/>
          <w:szCs w:val="22"/>
        </w:rPr>
        <w:t>Technical Note</w:t>
      </w:r>
      <w:r w:rsidRPr="00CE1271">
        <w:rPr>
          <w:sz w:val="22"/>
          <w:szCs w:val="22"/>
        </w:rPr>
        <w:t xml:space="preserve">, an overview of the logic and conceptual design of </w:t>
      </w:r>
      <w:r w:rsidR="003B257A" w:rsidRPr="00CE1271">
        <w:rPr>
          <w:sz w:val="22"/>
          <w:szCs w:val="22"/>
        </w:rPr>
        <w:t>data-driven</w:t>
      </w:r>
      <w:r w:rsidRPr="00CE1271">
        <w:rPr>
          <w:sz w:val="22"/>
          <w:szCs w:val="22"/>
        </w:rPr>
        <w:t xml:space="preserve"> synthesis</w:t>
      </w:r>
      <w:r w:rsidR="008115F8" w:rsidRPr="00CE1271">
        <w:rPr>
          <w:sz w:val="22"/>
          <w:szCs w:val="22"/>
        </w:rPr>
        <w:t xml:space="preserve"> of electrocatalysts under human-in-the-loop framework</w:t>
      </w:r>
      <w:r w:rsidRPr="00CE1271">
        <w:rPr>
          <w:sz w:val="22"/>
          <w:szCs w:val="22"/>
        </w:rPr>
        <w:t xml:space="preserve"> and evaluation of </w:t>
      </w:r>
      <w:r w:rsidR="00873780" w:rsidRPr="00CE1271">
        <w:rPr>
          <w:sz w:val="22"/>
          <w:szCs w:val="22"/>
        </w:rPr>
        <w:t xml:space="preserve">the activities </w:t>
      </w:r>
      <w:r w:rsidR="004A6654" w:rsidRPr="00CE1271">
        <w:rPr>
          <w:sz w:val="22"/>
          <w:szCs w:val="22"/>
        </w:rPr>
        <w:t xml:space="preserve">of </w:t>
      </w:r>
      <w:r w:rsidR="00873780" w:rsidRPr="00CE1271">
        <w:rPr>
          <w:sz w:val="22"/>
          <w:szCs w:val="22"/>
        </w:rPr>
        <w:t>these materials in OER</w:t>
      </w:r>
      <w:r w:rsidRPr="00CE1271">
        <w:rPr>
          <w:sz w:val="22"/>
          <w:szCs w:val="22"/>
        </w:rPr>
        <w:t xml:space="preserve"> </w:t>
      </w:r>
      <w:r w:rsidR="005A10FC" w:rsidRPr="00CE1271">
        <w:rPr>
          <w:rFonts w:hint="eastAsia"/>
          <w:sz w:val="22"/>
          <w:szCs w:val="22"/>
        </w:rPr>
        <w:t>are</w:t>
      </w:r>
      <w:r w:rsidRPr="00CE1271">
        <w:rPr>
          <w:sz w:val="22"/>
          <w:szCs w:val="22"/>
        </w:rPr>
        <w:t xml:space="preserve"> presented, in addition to describing potential issues that may arise during the execution of such experimental approach. We underscore the importance of </w:t>
      </w:r>
      <w:r w:rsidR="00FF742C" w:rsidRPr="00CE1271">
        <w:rPr>
          <w:sz w:val="22"/>
          <w:szCs w:val="22"/>
        </w:rPr>
        <w:t>understanding</w:t>
      </w:r>
      <w:r w:rsidRPr="00CE1271">
        <w:rPr>
          <w:sz w:val="22"/>
          <w:szCs w:val="22"/>
        </w:rPr>
        <w:t xml:space="preserve"> that the initial performance of a given electrocatalyst (dependent on surface) may not be representative of its performance over a longer </w:t>
      </w:r>
      <w:proofErr w:type="gramStart"/>
      <w:r w:rsidRPr="00CE1271">
        <w:rPr>
          <w:sz w:val="22"/>
          <w:szCs w:val="22"/>
        </w:rPr>
        <w:t>period of time</w:t>
      </w:r>
      <w:proofErr w:type="gramEnd"/>
      <w:r w:rsidRPr="00CE1271">
        <w:rPr>
          <w:sz w:val="22"/>
          <w:szCs w:val="22"/>
        </w:rPr>
        <w:t xml:space="preserve"> (dependent on bulk) and should be carefully considered when choosing optimization metrics. It is also noted that observed performance of a given electrocatalyst can be severely affected by the spatial distribution of the active species, in terms of surface coverage, texture and porosity. </w:t>
      </w:r>
      <w:r w:rsidR="00A941B9" w:rsidRPr="00CE1271">
        <w:rPr>
          <w:sz w:val="22"/>
          <w:szCs w:val="22"/>
        </w:rPr>
        <w:t>This issue can presumably be minimized by using very accurate electrocatalyst deposition approaches across all samples for fair comparison.</w:t>
      </w:r>
    </w:p>
    <w:p w14:paraId="585772EA" w14:textId="272D63C2" w:rsidR="00127969" w:rsidRPr="00CE1271" w:rsidRDefault="00CA0512" w:rsidP="000F1A8F">
      <w:pPr>
        <w:spacing w:line="480" w:lineRule="auto"/>
        <w:jc w:val="both"/>
        <w:rPr>
          <w:sz w:val="22"/>
          <w:szCs w:val="22"/>
        </w:rPr>
      </w:pPr>
      <w:r w:rsidRPr="00CE1271">
        <w:rPr>
          <w:sz w:val="22"/>
          <w:szCs w:val="22"/>
        </w:rPr>
        <w:t>Finally,</w:t>
      </w:r>
      <w:r w:rsidR="00A731DE" w:rsidRPr="00CE1271">
        <w:rPr>
          <w:sz w:val="22"/>
          <w:szCs w:val="22"/>
        </w:rPr>
        <w:t xml:space="preserve"> a suggestion</w:t>
      </w:r>
      <w:r w:rsidR="002C24B1" w:rsidRPr="00CE1271">
        <w:rPr>
          <w:rFonts w:hint="eastAsia"/>
          <w:sz w:val="22"/>
          <w:szCs w:val="22"/>
        </w:rPr>
        <w:t xml:space="preserve"> for future direction</w:t>
      </w:r>
      <w:r w:rsidR="00A731DE" w:rsidRPr="00CE1271">
        <w:rPr>
          <w:sz w:val="22"/>
          <w:szCs w:val="22"/>
        </w:rPr>
        <w:t xml:space="preserve"> is </w:t>
      </w:r>
      <w:r w:rsidR="0008346F" w:rsidRPr="00CE1271">
        <w:rPr>
          <w:rFonts w:hint="eastAsia"/>
          <w:sz w:val="22"/>
          <w:szCs w:val="22"/>
        </w:rPr>
        <w:t>rather cle</w:t>
      </w:r>
      <w:r w:rsidR="004A3203" w:rsidRPr="00CE1271">
        <w:rPr>
          <w:rFonts w:hint="eastAsia"/>
          <w:sz w:val="22"/>
          <w:szCs w:val="22"/>
        </w:rPr>
        <w:t>ar:</w:t>
      </w:r>
      <w:r w:rsidR="00A731DE" w:rsidRPr="00CE1271">
        <w:rPr>
          <w:sz w:val="22"/>
          <w:szCs w:val="22"/>
        </w:rPr>
        <w:t xml:space="preserve"> </w:t>
      </w:r>
      <w:r w:rsidR="002C24B1" w:rsidRPr="00CE1271">
        <w:rPr>
          <w:rFonts w:hint="eastAsia"/>
          <w:sz w:val="22"/>
          <w:szCs w:val="22"/>
        </w:rPr>
        <w:t>coming</w:t>
      </w:r>
      <w:r w:rsidR="00A731DE" w:rsidRPr="00CE1271">
        <w:rPr>
          <w:sz w:val="22"/>
          <w:szCs w:val="22"/>
        </w:rPr>
        <w:t xml:space="preserve"> studies</w:t>
      </w:r>
      <w:r w:rsidR="002C24B1" w:rsidRPr="00CE1271">
        <w:rPr>
          <w:rFonts w:hint="eastAsia"/>
          <w:sz w:val="22"/>
          <w:szCs w:val="22"/>
        </w:rPr>
        <w:t xml:space="preserve"> based on data-driven appr</w:t>
      </w:r>
      <w:r w:rsidR="00CA45DA" w:rsidRPr="00CE1271">
        <w:rPr>
          <w:rFonts w:hint="eastAsia"/>
          <w:sz w:val="22"/>
          <w:szCs w:val="22"/>
        </w:rPr>
        <w:t>oaches</w:t>
      </w:r>
      <w:r w:rsidR="00A731DE" w:rsidRPr="00CE1271">
        <w:rPr>
          <w:sz w:val="22"/>
          <w:szCs w:val="22"/>
        </w:rPr>
        <w:t xml:space="preserve"> should focus not only on optimizing overpotential,</w:t>
      </w:r>
      <w:r w:rsidR="00CA45DA" w:rsidRPr="00CE1271">
        <w:rPr>
          <w:rFonts w:hint="eastAsia"/>
          <w:sz w:val="22"/>
          <w:szCs w:val="22"/>
          <w:vertAlign w:val="superscript"/>
        </w:rPr>
        <w:t>9</w:t>
      </w:r>
      <w:r w:rsidR="00A731DE" w:rsidRPr="00CE1271">
        <w:rPr>
          <w:sz w:val="22"/>
          <w:szCs w:val="22"/>
        </w:rPr>
        <w:t xml:space="preserve"> but also </w:t>
      </w:r>
      <w:r w:rsidR="005A10FC" w:rsidRPr="00CE1271">
        <w:rPr>
          <w:rFonts w:hint="eastAsia"/>
          <w:sz w:val="22"/>
          <w:szCs w:val="22"/>
        </w:rPr>
        <w:t xml:space="preserve">spontaneously </w:t>
      </w:r>
      <w:r w:rsidR="0041494F" w:rsidRPr="00CE1271">
        <w:rPr>
          <w:rFonts w:hint="eastAsia"/>
          <w:sz w:val="22"/>
          <w:szCs w:val="22"/>
        </w:rPr>
        <w:t xml:space="preserve">on </w:t>
      </w:r>
      <w:r w:rsidR="00A731DE" w:rsidRPr="00CE1271">
        <w:rPr>
          <w:sz w:val="22"/>
          <w:szCs w:val="22"/>
        </w:rPr>
        <w:t>durability</w:t>
      </w:r>
      <w:r w:rsidR="00F72D8C" w:rsidRPr="00CE1271">
        <w:rPr>
          <w:rFonts w:hint="eastAsia"/>
          <w:sz w:val="22"/>
          <w:szCs w:val="22"/>
          <w:vertAlign w:val="superscript"/>
        </w:rPr>
        <w:t>11</w:t>
      </w:r>
      <w:r w:rsidR="00A731DE" w:rsidRPr="00CE1271">
        <w:rPr>
          <w:sz w:val="22"/>
          <w:szCs w:val="22"/>
        </w:rPr>
        <w:t xml:space="preserve"> </w:t>
      </w:r>
      <w:r w:rsidR="00AB01B1" w:rsidRPr="00CE1271">
        <w:rPr>
          <w:sz w:val="22"/>
          <w:szCs w:val="22"/>
        </w:rPr>
        <w:t>to</w:t>
      </w:r>
      <w:r w:rsidR="00A731DE" w:rsidRPr="00CE1271">
        <w:rPr>
          <w:sz w:val="22"/>
          <w:szCs w:val="22"/>
        </w:rPr>
        <w:t xml:space="preserve"> </w:t>
      </w:r>
      <w:r w:rsidR="00F97BA2" w:rsidRPr="00CE1271">
        <w:rPr>
          <w:sz w:val="22"/>
          <w:szCs w:val="22"/>
        </w:rPr>
        <w:t>discover</w:t>
      </w:r>
      <w:r w:rsidR="00A731DE" w:rsidRPr="00CE1271">
        <w:rPr>
          <w:sz w:val="22"/>
          <w:szCs w:val="22"/>
        </w:rPr>
        <w:t xml:space="preserve"> </w:t>
      </w:r>
      <w:r w:rsidR="007C5B97" w:rsidRPr="00CE1271">
        <w:rPr>
          <w:rFonts w:hint="eastAsia"/>
          <w:sz w:val="22"/>
          <w:szCs w:val="22"/>
        </w:rPr>
        <w:t>non</w:t>
      </w:r>
      <w:r w:rsidR="008057E4" w:rsidRPr="00CE1271">
        <w:rPr>
          <w:rFonts w:hint="eastAsia"/>
          <w:sz w:val="22"/>
          <w:szCs w:val="22"/>
        </w:rPr>
        <w:t xml:space="preserve">-PGM based </w:t>
      </w:r>
      <w:r w:rsidR="00A731DE" w:rsidRPr="00CE1271">
        <w:rPr>
          <w:sz w:val="22"/>
          <w:szCs w:val="22"/>
        </w:rPr>
        <w:t>electrocatalysts that may be compatible with industrial applications in the future</w:t>
      </w:r>
      <w:r w:rsidR="00DB5C48" w:rsidRPr="00CE1271">
        <w:rPr>
          <w:rFonts w:hint="eastAsia"/>
          <w:sz w:val="22"/>
          <w:szCs w:val="22"/>
        </w:rPr>
        <w:t xml:space="preserve">, and/or </w:t>
      </w:r>
      <w:r w:rsidR="0041494F" w:rsidRPr="00CE1271">
        <w:rPr>
          <w:rFonts w:hint="eastAsia"/>
          <w:sz w:val="22"/>
          <w:szCs w:val="22"/>
        </w:rPr>
        <w:t xml:space="preserve">on </w:t>
      </w:r>
      <w:r w:rsidR="00DB5C48" w:rsidRPr="00CE1271">
        <w:rPr>
          <w:rFonts w:hint="eastAsia"/>
          <w:sz w:val="22"/>
          <w:szCs w:val="22"/>
        </w:rPr>
        <w:t xml:space="preserve">microscopic </w:t>
      </w:r>
      <w:r w:rsidR="00DB5C48" w:rsidRPr="00CE1271">
        <w:rPr>
          <w:sz w:val="22"/>
          <w:szCs w:val="22"/>
        </w:rPr>
        <w:t>mechanism</w:t>
      </w:r>
      <w:r w:rsidR="0041494F" w:rsidRPr="00CE1271">
        <w:rPr>
          <w:sz w:val="22"/>
          <w:szCs w:val="22"/>
          <w:vertAlign w:val="superscript"/>
        </w:rPr>
        <w:t>4</w:t>
      </w:r>
      <w:r w:rsidR="00F50B43" w:rsidRPr="00CE1271">
        <w:rPr>
          <w:sz w:val="22"/>
          <w:szCs w:val="22"/>
          <w:vertAlign w:val="superscript"/>
        </w:rPr>
        <w:t>2</w:t>
      </w:r>
      <w:r w:rsidR="00DB5C48" w:rsidRPr="00CE1271">
        <w:rPr>
          <w:rFonts w:hint="eastAsia"/>
          <w:sz w:val="22"/>
          <w:szCs w:val="22"/>
        </w:rPr>
        <w:t xml:space="preserve"> which would empower to expand our limited knowledge on electrochemistry</w:t>
      </w:r>
      <w:r w:rsidR="00A731DE" w:rsidRPr="00CE1271">
        <w:rPr>
          <w:sz w:val="22"/>
          <w:szCs w:val="22"/>
        </w:rPr>
        <w:t>.</w:t>
      </w:r>
    </w:p>
    <w:p w14:paraId="08200A74" w14:textId="77777777" w:rsidR="009C1BB4" w:rsidRPr="00CE1271" w:rsidRDefault="009C1BB4" w:rsidP="000F1A8F">
      <w:pPr>
        <w:spacing w:line="480" w:lineRule="auto"/>
        <w:jc w:val="both"/>
        <w:rPr>
          <w:sz w:val="22"/>
          <w:szCs w:val="22"/>
        </w:rPr>
      </w:pPr>
    </w:p>
    <w:p w14:paraId="6B15F5EE" w14:textId="77777777" w:rsidR="009C1BB4" w:rsidRDefault="009C1BB4" w:rsidP="000F1A8F">
      <w:pPr>
        <w:spacing w:line="480" w:lineRule="auto"/>
        <w:jc w:val="both"/>
        <w:rPr>
          <w:sz w:val="22"/>
          <w:szCs w:val="22"/>
        </w:rPr>
      </w:pPr>
    </w:p>
    <w:p w14:paraId="73667A30" w14:textId="77777777" w:rsidR="005723DA" w:rsidRPr="00CE1271" w:rsidRDefault="005723DA" w:rsidP="000F1A8F">
      <w:pPr>
        <w:spacing w:line="480" w:lineRule="auto"/>
        <w:jc w:val="both"/>
        <w:rPr>
          <w:rFonts w:hint="eastAsia"/>
          <w:sz w:val="22"/>
          <w:szCs w:val="22"/>
        </w:rPr>
      </w:pPr>
    </w:p>
    <w:p w14:paraId="05035DCD" w14:textId="5BB4EEEB" w:rsidR="006A118D" w:rsidRPr="00CE1271" w:rsidRDefault="00170E88" w:rsidP="000F1A8F">
      <w:pPr>
        <w:spacing w:line="480" w:lineRule="auto"/>
        <w:jc w:val="both"/>
        <w:rPr>
          <w:b/>
          <w:bCs/>
          <w:sz w:val="22"/>
          <w:szCs w:val="22"/>
        </w:rPr>
      </w:pPr>
      <w:r w:rsidRPr="00CE1271">
        <w:rPr>
          <w:b/>
          <w:bCs/>
          <w:sz w:val="22"/>
          <w:szCs w:val="22"/>
        </w:rPr>
        <w:t>Experimental section</w:t>
      </w:r>
    </w:p>
    <w:p w14:paraId="106AF722" w14:textId="5611D643" w:rsidR="00170E88" w:rsidRPr="00CE1271" w:rsidRDefault="00170E88" w:rsidP="00806240">
      <w:pPr>
        <w:spacing w:line="480" w:lineRule="auto"/>
        <w:jc w:val="both"/>
        <w:rPr>
          <w:sz w:val="22"/>
          <w:szCs w:val="22"/>
        </w:rPr>
      </w:pPr>
      <w:r w:rsidRPr="00CE1271">
        <w:rPr>
          <w:b/>
          <w:bCs/>
          <w:sz w:val="22"/>
          <w:szCs w:val="22"/>
        </w:rPr>
        <w:t>Chemicals.</w:t>
      </w:r>
      <w:r w:rsidRPr="00CE1271">
        <w:rPr>
          <w:sz w:val="22"/>
          <w:szCs w:val="22"/>
        </w:rPr>
        <w:t xml:space="preserve"> RuCl</w:t>
      </w:r>
      <w:r w:rsidRPr="00CE1271">
        <w:rPr>
          <w:sz w:val="22"/>
          <w:szCs w:val="22"/>
          <w:vertAlign w:val="subscript"/>
        </w:rPr>
        <w:t>3</w:t>
      </w:r>
      <w:r w:rsidR="005A10FC" w:rsidRPr="00CE1271">
        <w:rPr>
          <w:rFonts w:eastAsia="游ゴシック"/>
          <w:sz w:val="22"/>
          <w:szCs w:val="22"/>
        </w:rPr>
        <w:t>·</w:t>
      </w:r>
      <w:r w:rsidRPr="00CE1271">
        <w:rPr>
          <w:i/>
          <w:iCs/>
          <w:sz w:val="22"/>
          <w:szCs w:val="22"/>
        </w:rPr>
        <w:t>x</w:t>
      </w:r>
      <w:r w:rsidRPr="00CE1271">
        <w:rPr>
          <w:sz w:val="22"/>
          <w:szCs w:val="22"/>
        </w:rPr>
        <w:t>H</w:t>
      </w:r>
      <w:r w:rsidRPr="00CE1271">
        <w:rPr>
          <w:sz w:val="22"/>
          <w:szCs w:val="22"/>
          <w:vertAlign w:val="subscript"/>
        </w:rPr>
        <w:t>2</w:t>
      </w:r>
      <w:r w:rsidRPr="00CE1271">
        <w:rPr>
          <w:sz w:val="22"/>
          <w:szCs w:val="22"/>
        </w:rPr>
        <w:t>O (Ru &gt; 40%) was purchased from Tokyo Chemical Industry Co., Ltd.</w:t>
      </w:r>
      <w:r w:rsidR="00806240" w:rsidRPr="00CE1271">
        <w:rPr>
          <w:sz w:val="22"/>
          <w:szCs w:val="22"/>
        </w:rPr>
        <w:t xml:space="preserve"> </w:t>
      </w:r>
      <w:r w:rsidRPr="00CE1271">
        <w:rPr>
          <w:sz w:val="22"/>
          <w:szCs w:val="22"/>
        </w:rPr>
        <w:t>MnCl</w:t>
      </w:r>
      <w:r w:rsidRPr="00CE1271">
        <w:rPr>
          <w:sz w:val="22"/>
          <w:szCs w:val="22"/>
          <w:vertAlign w:val="subscript"/>
        </w:rPr>
        <w:t>2</w:t>
      </w:r>
      <w:r w:rsidR="004252F3" w:rsidRPr="00CE1271">
        <w:rPr>
          <w:rFonts w:eastAsia="游ゴシック"/>
          <w:sz w:val="22"/>
          <w:szCs w:val="22"/>
        </w:rPr>
        <w:t>·</w:t>
      </w:r>
      <w:r w:rsidRPr="00CE1271">
        <w:rPr>
          <w:sz w:val="22"/>
          <w:szCs w:val="22"/>
        </w:rPr>
        <w:t>4H</w:t>
      </w:r>
      <w:r w:rsidRPr="00CE1271">
        <w:rPr>
          <w:sz w:val="22"/>
          <w:szCs w:val="22"/>
          <w:vertAlign w:val="subscript"/>
        </w:rPr>
        <w:t>2</w:t>
      </w:r>
      <w:r w:rsidRPr="00CE1271">
        <w:rPr>
          <w:sz w:val="22"/>
          <w:szCs w:val="22"/>
        </w:rPr>
        <w:t>O (99.0%), NiCl</w:t>
      </w:r>
      <w:r w:rsidRPr="00CE1271">
        <w:rPr>
          <w:sz w:val="22"/>
          <w:szCs w:val="22"/>
          <w:vertAlign w:val="subscript"/>
        </w:rPr>
        <w:t>2</w:t>
      </w:r>
      <w:r w:rsidR="004252F3" w:rsidRPr="00CE1271">
        <w:rPr>
          <w:rFonts w:eastAsia="游ゴシック"/>
          <w:sz w:val="22"/>
          <w:szCs w:val="22"/>
        </w:rPr>
        <w:t>·</w:t>
      </w:r>
      <w:r w:rsidRPr="00CE1271">
        <w:rPr>
          <w:sz w:val="22"/>
          <w:szCs w:val="22"/>
        </w:rPr>
        <w:t>6H</w:t>
      </w:r>
      <w:r w:rsidRPr="00CE1271">
        <w:rPr>
          <w:sz w:val="22"/>
          <w:szCs w:val="22"/>
          <w:vertAlign w:val="subscript"/>
        </w:rPr>
        <w:t>2</w:t>
      </w:r>
      <w:r w:rsidRPr="00CE1271">
        <w:rPr>
          <w:sz w:val="22"/>
          <w:szCs w:val="22"/>
        </w:rPr>
        <w:t>O (98.0%), FeCl</w:t>
      </w:r>
      <w:r w:rsidRPr="00CE1271">
        <w:rPr>
          <w:sz w:val="22"/>
          <w:szCs w:val="22"/>
          <w:vertAlign w:val="subscript"/>
        </w:rPr>
        <w:t>2</w:t>
      </w:r>
      <w:r w:rsidR="004252F3" w:rsidRPr="00CE1271">
        <w:rPr>
          <w:rFonts w:eastAsia="游ゴシック"/>
          <w:sz w:val="22"/>
          <w:szCs w:val="22"/>
        </w:rPr>
        <w:t>·</w:t>
      </w:r>
      <w:r w:rsidRPr="00CE1271">
        <w:rPr>
          <w:sz w:val="22"/>
          <w:szCs w:val="22"/>
        </w:rPr>
        <w:t>4H</w:t>
      </w:r>
      <w:r w:rsidRPr="00CE1271">
        <w:rPr>
          <w:sz w:val="22"/>
          <w:szCs w:val="22"/>
          <w:vertAlign w:val="subscript"/>
        </w:rPr>
        <w:t>2</w:t>
      </w:r>
      <w:r w:rsidRPr="00CE1271">
        <w:rPr>
          <w:sz w:val="22"/>
          <w:szCs w:val="22"/>
        </w:rPr>
        <w:t>O (99.0%), AgNO</w:t>
      </w:r>
      <w:r w:rsidRPr="00CE1271">
        <w:rPr>
          <w:sz w:val="22"/>
          <w:szCs w:val="22"/>
          <w:vertAlign w:val="subscript"/>
        </w:rPr>
        <w:t>3</w:t>
      </w:r>
      <w:r w:rsidRPr="00CE1271">
        <w:rPr>
          <w:sz w:val="22"/>
          <w:szCs w:val="22"/>
        </w:rPr>
        <w:t xml:space="preserve"> (99.8%), (&gt;99.5%), KOH (&gt;85%), and ethanol (99.5%) were from Wako Fuji Co. Ltd. ZnCl</w:t>
      </w:r>
      <w:r w:rsidRPr="00CE1271">
        <w:rPr>
          <w:sz w:val="22"/>
          <w:szCs w:val="22"/>
          <w:vertAlign w:val="subscript"/>
        </w:rPr>
        <w:t>2</w:t>
      </w:r>
      <w:r w:rsidRPr="00CE1271">
        <w:rPr>
          <w:sz w:val="22"/>
          <w:szCs w:val="22"/>
        </w:rPr>
        <w:t xml:space="preserve"> (99.95%) was purchased from Alfa </w:t>
      </w:r>
      <w:proofErr w:type="spellStart"/>
      <w:r w:rsidRPr="00CE1271">
        <w:rPr>
          <w:sz w:val="22"/>
          <w:szCs w:val="22"/>
        </w:rPr>
        <w:t>Aesar</w:t>
      </w:r>
      <w:proofErr w:type="spellEnd"/>
      <w:r w:rsidRPr="00CE1271">
        <w:rPr>
          <w:sz w:val="22"/>
          <w:szCs w:val="22"/>
        </w:rPr>
        <w:t>. CoCl</w:t>
      </w:r>
      <w:r w:rsidRPr="00CE1271">
        <w:rPr>
          <w:sz w:val="22"/>
          <w:szCs w:val="22"/>
          <w:vertAlign w:val="subscript"/>
        </w:rPr>
        <w:t>2</w:t>
      </w:r>
      <w:r w:rsidR="004252F3" w:rsidRPr="00CE1271">
        <w:rPr>
          <w:rFonts w:eastAsia="游ゴシック"/>
          <w:sz w:val="22"/>
          <w:szCs w:val="22"/>
        </w:rPr>
        <w:t>·</w:t>
      </w:r>
      <w:r w:rsidRPr="00CE1271">
        <w:rPr>
          <w:sz w:val="22"/>
          <w:szCs w:val="22"/>
        </w:rPr>
        <w:t>6H</w:t>
      </w:r>
      <w:r w:rsidRPr="00CE1271">
        <w:rPr>
          <w:sz w:val="22"/>
          <w:szCs w:val="22"/>
          <w:vertAlign w:val="subscript"/>
        </w:rPr>
        <w:t>2</w:t>
      </w:r>
      <w:r w:rsidRPr="00CE1271">
        <w:rPr>
          <w:sz w:val="22"/>
          <w:szCs w:val="22"/>
        </w:rPr>
        <w:t>O (99.0%) was purchased from Hayashi Pure Chemical Ind., Ltd. H</w:t>
      </w:r>
      <w:r w:rsidRPr="00CE1271">
        <w:rPr>
          <w:sz w:val="22"/>
          <w:szCs w:val="22"/>
          <w:vertAlign w:val="subscript"/>
        </w:rPr>
        <w:t>2</w:t>
      </w:r>
      <w:r w:rsidRPr="00CE1271">
        <w:rPr>
          <w:sz w:val="22"/>
          <w:szCs w:val="22"/>
        </w:rPr>
        <w:t>SO</w:t>
      </w:r>
      <w:r w:rsidRPr="00CE1271">
        <w:rPr>
          <w:sz w:val="22"/>
          <w:szCs w:val="22"/>
          <w:vertAlign w:val="subscript"/>
        </w:rPr>
        <w:t>4</w:t>
      </w:r>
      <w:r w:rsidRPr="00CE1271">
        <w:rPr>
          <w:sz w:val="22"/>
          <w:szCs w:val="22"/>
        </w:rPr>
        <w:t xml:space="preserve"> (96.0%) was from KANTO CHEMICAL CO., INC. Ultrapure water (18.2 </w:t>
      </w:r>
      <w:proofErr w:type="spellStart"/>
      <w:r w:rsidRPr="00CE1271">
        <w:rPr>
          <w:sz w:val="22"/>
          <w:szCs w:val="22"/>
        </w:rPr>
        <w:t>MΩ</w:t>
      </w:r>
      <w:r w:rsidR="004252F3" w:rsidRPr="00CE1271">
        <w:rPr>
          <w:rFonts w:eastAsia="游ゴシック"/>
          <w:sz w:val="22"/>
          <w:szCs w:val="22"/>
        </w:rPr>
        <w:t>·</w:t>
      </w:r>
      <w:r w:rsidRPr="00CE1271">
        <w:rPr>
          <w:sz w:val="22"/>
          <w:szCs w:val="22"/>
        </w:rPr>
        <w:t>cm</w:t>
      </w:r>
      <w:proofErr w:type="spellEnd"/>
      <w:r w:rsidRPr="00CE1271">
        <w:rPr>
          <w:sz w:val="22"/>
          <w:szCs w:val="22"/>
        </w:rPr>
        <w:t>, Milli-Q IQ Element, Merck AG, Germany) was used to prepare electrolytes.</w:t>
      </w:r>
    </w:p>
    <w:p w14:paraId="729783FA" w14:textId="1259A8F7" w:rsidR="00170E88" w:rsidRPr="00CE1271" w:rsidRDefault="00170E88" w:rsidP="00806240">
      <w:pPr>
        <w:spacing w:line="480" w:lineRule="auto"/>
        <w:jc w:val="both"/>
        <w:rPr>
          <w:sz w:val="22"/>
          <w:szCs w:val="22"/>
        </w:rPr>
      </w:pPr>
      <w:r w:rsidRPr="00CE1271">
        <w:rPr>
          <w:b/>
          <w:bCs/>
          <w:sz w:val="22"/>
          <w:szCs w:val="22"/>
        </w:rPr>
        <w:t>Pretreatment of Ti foil.</w:t>
      </w:r>
      <w:r w:rsidRPr="00CE1271">
        <w:rPr>
          <w:sz w:val="22"/>
          <w:szCs w:val="22"/>
        </w:rPr>
        <w:t xml:space="preserve"> The titanium (Ti) foil (Ti, 99.5%, </w:t>
      </w:r>
      <w:proofErr w:type="spellStart"/>
      <w:r w:rsidRPr="00CE1271">
        <w:rPr>
          <w:sz w:val="22"/>
          <w:szCs w:val="22"/>
        </w:rPr>
        <w:t>Nilaco</w:t>
      </w:r>
      <w:proofErr w:type="spellEnd"/>
      <w:r w:rsidRPr="00CE1271">
        <w:rPr>
          <w:sz w:val="22"/>
          <w:szCs w:val="22"/>
        </w:rPr>
        <w:t xml:space="preserve">, 0.05×5×30 mm) was cleaned by ethanol and ultrapure water and subsequently etched in an oxalic acid solution (10%) at 80 </w:t>
      </w:r>
      <w:r w:rsidR="00C60B05" w:rsidRPr="00CE1271">
        <w:rPr>
          <w:sz w:val="22"/>
          <w:szCs w:val="22"/>
        </w:rPr>
        <w:t>°C</w:t>
      </w:r>
      <w:r w:rsidRPr="00CE1271">
        <w:rPr>
          <w:sz w:val="22"/>
          <w:szCs w:val="22"/>
        </w:rPr>
        <w:t xml:space="preserve"> for 1 h. Finally, the mixture was rinsed by ultrapure water and dried in air. </w:t>
      </w:r>
    </w:p>
    <w:p w14:paraId="39AF099A" w14:textId="183533FF" w:rsidR="00170E88" w:rsidRPr="00CE1271" w:rsidRDefault="00170E88" w:rsidP="00806240">
      <w:pPr>
        <w:spacing w:line="480" w:lineRule="auto"/>
        <w:jc w:val="both"/>
        <w:rPr>
          <w:sz w:val="22"/>
          <w:szCs w:val="22"/>
        </w:rPr>
      </w:pPr>
      <w:r w:rsidRPr="00CE1271">
        <w:rPr>
          <w:b/>
          <w:bCs/>
          <w:sz w:val="22"/>
          <w:szCs w:val="22"/>
        </w:rPr>
        <w:t xml:space="preserve">Synthesis of </w:t>
      </w:r>
      <w:proofErr w:type="spellStart"/>
      <w:r w:rsidRPr="00CE1271">
        <w:rPr>
          <w:b/>
          <w:bCs/>
          <w:sz w:val="22"/>
          <w:szCs w:val="22"/>
        </w:rPr>
        <w:t>RuO</w:t>
      </w:r>
      <w:r w:rsidRPr="00CE1271">
        <w:rPr>
          <w:b/>
          <w:bCs/>
          <w:i/>
          <w:iCs/>
          <w:sz w:val="22"/>
          <w:szCs w:val="22"/>
          <w:vertAlign w:val="subscript"/>
        </w:rPr>
        <w:t>x</w:t>
      </w:r>
      <w:proofErr w:type="spellEnd"/>
      <w:r w:rsidRPr="00CE1271">
        <w:rPr>
          <w:b/>
          <w:bCs/>
          <w:sz w:val="22"/>
          <w:szCs w:val="22"/>
        </w:rPr>
        <w:t>.</w:t>
      </w:r>
      <w:r w:rsidRPr="00CE1271">
        <w:rPr>
          <w:sz w:val="22"/>
          <w:szCs w:val="22"/>
        </w:rPr>
        <w:t xml:space="preserve"> A precursor solution (0.05 M RuCl</w:t>
      </w:r>
      <w:r w:rsidRPr="00CE1271">
        <w:rPr>
          <w:sz w:val="22"/>
          <w:szCs w:val="22"/>
          <w:vertAlign w:val="subscript"/>
        </w:rPr>
        <w:t>3</w:t>
      </w:r>
      <w:r w:rsidRPr="00CE1271">
        <w:rPr>
          <w:sz w:val="22"/>
          <w:szCs w:val="22"/>
        </w:rPr>
        <w:t xml:space="preserve"> in ethanol) was dropped (1.25 </w:t>
      </w:r>
      <w:r w:rsidRPr="00CE1271">
        <w:rPr>
          <w:i/>
          <w:iCs/>
          <w:sz w:val="22"/>
          <w:szCs w:val="22"/>
        </w:rPr>
        <w:t>μ</w:t>
      </w:r>
      <w:r w:rsidRPr="00CE1271">
        <w:rPr>
          <w:sz w:val="22"/>
          <w:szCs w:val="22"/>
        </w:rPr>
        <w:t xml:space="preserve">L) on the pretreated Ti substrate (dropped region 5×10 mm, or more as needed) and subsequently annealed at 350 </w:t>
      </w:r>
      <w:r w:rsidR="00C60B05" w:rsidRPr="00CE1271">
        <w:rPr>
          <w:sz w:val="22"/>
          <w:szCs w:val="22"/>
        </w:rPr>
        <w:t>°C</w:t>
      </w:r>
      <w:r w:rsidRPr="00CE1271">
        <w:rPr>
          <w:sz w:val="22"/>
          <w:szCs w:val="22"/>
        </w:rPr>
        <w:t xml:space="preserve"> for 1 min in air. The above process was repeated another thirteen times and finally annealed at 460</w:t>
      </w:r>
      <w:r w:rsidR="00C60B05" w:rsidRPr="00CE1271">
        <w:rPr>
          <w:color w:val="040C28"/>
          <w:sz w:val="22"/>
          <w:szCs w:val="22"/>
        </w:rPr>
        <w:t xml:space="preserve"> </w:t>
      </w:r>
      <w:r w:rsidR="00C60B05" w:rsidRPr="00CE1271">
        <w:rPr>
          <w:sz w:val="22"/>
          <w:szCs w:val="22"/>
        </w:rPr>
        <w:t>°C</w:t>
      </w:r>
      <w:r w:rsidRPr="00CE1271">
        <w:rPr>
          <w:sz w:val="22"/>
          <w:szCs w:val="22"/>
        </w:rPr>
        <w:t xml:space="preserve"> for 70 min in air.</w:t>
      </w:r>
    </w:p>
    <w:p w14:paraId="236446DD" w14:textId="17468CC7" w:rsidR="00170E88" w:rsidRDefault="00170E88" w:rsidP="00806240">
      <w:pPr>
        <w:spacing w:line="480" w:lineRule="auto"/>
        <w:jc w:val="both"/>
        <w:rPr>
          <w:sz w:val="22"/>
          <w:szCs w:val="22"/>
        </w:rPr>
      </w:pPr>
      <w:r w:rsidRPr="00CE1271">
        <w:rPr>
          <w:b/>
          <w:bCs/>
          <w:sz w:val="22"/>
          <w:szCs w:val="22"/>
        </w:rPr>
        <w:t xml:space="preserve">Synthesis </w:t>
      </w:r>
      <w:proofErr w:type="spellStart"/>
      <w:r w:rsidRPr="00CE1271">
        <w:rPr>
          <w:b/>
          <w:bCs/>
          <w:sz w:val="22"/>
          <w:szCs w:val="22"/>
        </w:rPr>
        <w:t>RuO</w:t>
      </w:r>
      <w:r w:rsidRPr="00CE1271">
        <w:rPr>
          <w:b/>
          <w:bCs/>
          <w:i/>
          <w:iCs/>
          <w:sz w:val="22"/>
          <w:szCs w:val="22"/>
          <w:vertAlign w:val="subscript"/>
        </w:rPr>
        <w:t>x</w:t>
      </w:r>
      <w:proofErr w:type="spellEnd"/>
      <w:r w:rsidRPr="00CE1271">
        <w:rPr>
          <w:b/>
          <w:bCs/>
          <w:sz w:val="22"/>
          <w:szCs w:val="22"/>
        </w:rPr>
        <w:t>-Metals electrocatalysts.</w:t>
      </w:r>
      <w:r w:rsidRPr="00CE1271">
        <w:rPr>
          <w:sz w:val="22"/>
          <w:szCs w:val="22"/>
        </w:rPr>
        <w:t xml:space="preserve"> A precursor solution (0.05 M RuCl</w:t>
      </w:r>
      <w:r w:rsidRPr="00CE1271">
        <w:rPr>
          <w:sz w:val="22"/>
          <w:szCs w:val="22"/>
          <w:vertAlign w:val="subscript"/>
        </w:rPr>
        <w:t>3</w:t>
      </w:r>
      <w:r w:rsidRPr="00CE1271">
        <w:rPr>
          <w:sz w:val="22"/>
          <w:szCs w:val="22"/>
        </w:rPr>
        <w:t xml:space="preserve"> in ethanol) was dropped (1.25 </w:t>
      </w:r>
      <w:r w:rsidRPr="00CE1271">
        <w:rPr>
          <w:i/>
          <w:iCs/>
          <w:sz w:val="22"/>
          <w:szCs w:val="22"/>
        </w:rPr>
        <w:t>μ</w:t>
      </w:r>
      <w:r w:rsidRPr="00CE1271">
        <w:rPr>
          <w:sz w:val="22"/>
          <w:szCs w:val="22"/>
        </w:rPr>
        <w:t>L) on the pretreated Ti substrate (dropped region 5×10 mm, or more</w:t>
      </w:r>
      <w:r w:rsidR="00C60B05" w:rsidRPr="00CE1271">
        <w:rPr>
          <w:sz w:val="22"/>
          <w:szCs w:val="22"/>
        </w:rPr>
        <w:t xml:space="preserve"> </w:t>
      </w:r>
      <w:r w:rsidRPr="00CE1271">
        <w:rPr>
          <w:sz w:val="22"/>
          <w:szCs w:val="22"/>
        </w:rPr>
        <w:t xml:space="preserve">as needed) and subsequently annealed at 350 </w:t>
      </w:r>
      <w:r w:rsidR="00C60B05" w:rsidRPr="00CE1271">
        <w:rPr>
          <w:sz w:val="22"/>
          <w:szCs w:val="22"/>
        </w:rPr>
        <w:t>°C</w:t>
      </w:r>
      <w:r w:rsidRPr="00CE1271">
        <w:rPr>
          <w:sz w:val="22"/>
          <w:szCs w:val="22"/>
        </w:rPr>
        <w:t xml:space="preserve"> for 1 min in air. The above process was repeated another thirteen times and subsequently a multi-metal solution of chloride salts (0.05 M in ethanol) </w:t>
      </w:r>
      <w:proofErr w:type="gramStart"/>
      <w:r w:rsidRPr="00CE1271">
        <w:rPr>
          <w:sz w:val="22"/>
          <w:szCs w:val="22"/>
        </w:rPr>
        <w:t>was dropped</w:t>
      </w:r>
      <w:proofErr w:type="gramEnd"/>
      <w:r w:rsidRPr="00CE1271">
        <w:rPr>
          <w:sz w:val="22"/>
          <w:szCs w:val="22"/>
        </w:rPr>
        <w:t xml:space="preserve"> (1.25</w:t>
      </w:r>
      <w:r w:rsidR="004762CE" w:rsidRPr="00CE1271">
        <w:rPr>
          <w:sz w:val="22"/>
          <w:szCs w:val="22"/>
        </w:rPr>
        <w:t> </w:t>
      </w:r>
      <w:proofErr w:type="spellStart"/>
      <w:r w:rsidRPr="00CE1271">
        <w:rPr>
          <w:i/>
          <w:iCs/>
          <w:sz w:val="22"/>
          <w:szCs w:val="22"/>
        </w:rPr>
        <w:t>μ</w:t>
      </w:r>
      <w:r w:rsidRPr="00CE1271">
        <w:rPr>
          <w:sz w:val="22"/>
          <w:szCs w:val="22"/>
        </w:rPr>
        <w:t>L</w:t>
      </w:r>
      <w:proofErr w:type="spellEnd"/>
      <w:r w:rsidRPr="00CE1271">
        <w:rPr>
          <w:sz w:val="22"/>
          <w:szCs w:val="22"/>
        </w:rPr>
        <w:t xml:space="preserve">) 6 times, once again annealing at 350 </w:t>
      </w:r>
      <w:r w:rsidR="00C60B05" w:rsidRPr="00CE1271">
        <w:rPr>
          <w:sz w:val="22"/>
          <w:szCs w:val="22"/>
        </w:rPr>
        <w:t>°C</w:t>
      </w:r>
      <w:r w:rsidRPr="00CE1271">
        <w:rPr>
          <w:sz w:val="22"/>
          <w:szCs w:val="22"/>
        </w:rPr>
        <w:t xml:space="preserve"> for 1 min in air each time, finally annealed at 460 </w:t>
      </w:r>
      <w:r w:rsidR="00C60B05" w:rsidRPr="00CE1271">
        <w:rPr>
          <w:sz w:val="22"/>
          <w:szCs w:val="22"/>
        </w:rPr>
        <w:t>°C</w:t>
      </w:r>
      <w:r w:rsidRPr="00CE1271">
        <w:rPr>
          <w:sz w:val="22"/>
          <w:szCs w:val="22"/>
        </w:rPr>
        <w:t xml:space="preserve"> for 70 min in air.</w:t>
      </w:r>
    </w:p>
    <w:p w14:paraId="3B27A950" w14:textId="77777777" w:rsidR="005645DF" w:rsidRDefault="005645DF" w:rsidP="005645DF">
      <w:pPr>
        <w:spacing w:line="480" w:lineRule="auto"/>
        <w:jc w:val="both"/>
        <w:rPr>
          <w:b/>
          <w:bCs/>
          <w:sz w:val="22"/>
          <w:szCs w:val="22"/>
        </w:rPr>
      </w:pPr>
      <w:r>
        <w:rPr>
          <w:b/>
          <w:bCs/>
          <w:sz w:val="22"/>
          <w:szCs w:val="22"/>
        </w:rPr>
        <w:t>Supporting information</w:t>
      </w:r>
    </w:p>
    <w:p w14:paraId="0717E7E3" w14:textId="452A1323" w:rsidR="005645DF" w:rsidRPr="005645DF" w:rsidRDefault="005645DF" w:rsidP="005645DF">
      <w:pPr>
        <w:spacing w:line="480" w:lineRule="auto"/>
        <w:jc w:val="both"/>
        <w:rPr>
          <w:rFonts w:hint="eastAsia"/>
          <w:sz w:val="22"/>
          <w:szCs w:val="22"/>
        </w:rPr>
      </w:pPr>
      <w:r>
        <w:rPr>
          <w:sz w:val="22"/>
          <w:szCs w:val="22"/>
        </w:rPr>
        <w:lastRenderedPageBreak/>
        <w:t>The supporting information is available free of charge at:</w:t>
      </w:r>
      <w:r w:rsidR="006B2762">
        <w:rPr>
          <w:rFonts w:hint="eastAsia"/>
          <w:sz w:val="22"/>
          <w:szCs w:val="22"/>
        </w:rPr>
        <w:t xml:space="preserve"> t</w:t>
      </w:r>
      <w:r w:rsidRPr="005645DF">
        <w:rPr>
          <w:sz w:val="22"/>
          <w:szCs w:val="22"/>
        </w:rPr>
        <w:t>abulated optimization metrics for all the synthesized electrocatalysts are available, in addition to LSV and CP measurements of relevant electrocatalyst samples (PDF).</w:t>
      </w:r>
    </w:p>
    <w:p w14:paraId="26F59D30" w14:textId="52AB9B6D" w:rsidR="006A118D" w:rsidRPr="00CE1271" w:rsidRDefault="00412BF1" w:rsidP="000F1A8F">
      <w:pPr>
        <w:spacing w:line="480" w:lineRule="auto"/>
        <w:jc w:val="both"/>
        <w:rPr>
          <w:b/>
          <w:bCs/>
          <w:sz w:val="22"/>
          <w:szCs w:val="22"/>
        </w:rPr>
      </w:pPr>
      <w:r w:rsidRPr="00CE1271">
        <w:rPr>
          <w:b/>
          <w:bCs/>
          <w:sz w:val="22"/>
          <w:szCs w:val="22"/>
        </w:rPr>
        <w:t>Acknowledgement</w:t>
      </w:r>
    </w:p>
    <w:p w14:paraId="721CEB01" w14:textId="12872AD6" w:rsidR="00B45536" w:rsidRPr="00CE1271" w:rsidRDefault="00762C1E" w:rsidP="000F1A8F">
      <w:pPr>
        <w:spacing w:line="480" w:lineRule="auto"/>
        <w:jc w:val="both"/>
        <w:rPr>
          <w:sz w:val="22"/>
          <w:szCs w:val="22"/>
        </w:rPr>
      </w:pPr>
      <w:r w:rsidRPr="00CE1271">
        <w:rPr>
          <w:sz w:val="22"/>
        </w:rPr>
        <w:t xml:space="preserve">KS </w:t>
      </w:r>
      <w:r w:rsidRPr="00CE1271">
        <w:rPr>
          <w:rFonts w:hint="eastAsia"/>
          <w:sz w:val="22"/>
        </w:rPr>
        <w:t>was</w:t>
      </w:r>
      <w:r w:rsidRPr="00CE1271">
        <w:rPr>
          <w:sz w:val="22"/>
        </w:rPr>
        <w:t xml:space="preserve"> indebted to Churchill College, Cambridge</w:t>
      </w:r>
      <w:r w:rsidR="00C700AE" w:rsidRPr="00CE1271">
        <w:rPr>
          <w:rFonts w:hint="eastAsia"/>
          <w:sz w:val="22"/>
        </w:rPr>
        <w:t xml:space="preserve">, and Cavendish </w:t>
      </w:r>
      <w:r w:rsidR="00C700AE" w:rsidRPr="00CE1271">
        <w:rPr>
          <w:sz w:val="22"/>
        </w:rPr>
        <w:t>Laboratory</w:t>
      </w:r>
      <w:r w:rsidR="00C700AE" w:rsidRPr="00CE1271">
        <w:rPr>
          <w:rFonts w:hint="eastAsia"/>
          <w:sz w:val="22"/>
        </w:rPr>
        <w:t>, the Univer</w:t>
      </w:r>
      <w:r w:rsidR="00317614" w:rsidRPr="00CE1271">
        <w:rPr>
          <w:rFonts w:hint="eastAsia"/>
          <w:sz w:val="22"/>
        </w:rPr>
        <w:t>sity of Cambridge</w:t>
      </w:r>
      <w:r w:rsidR="009C1BB4" w:rsidRPr="00CE1271">
        <w:rPr>
          <w:rFonts w:hint="eastAsia"/>
          <w:sz w:val="22"/>
        </w:rPr>
        <w:t xml:space="preserve"> </w:t>
      </w:r>
      <w:r w:rsidR="00EE03E9" w:rsidRPr="00CE1271">
        <w:rPr>
          <w:rFonts w:hint="eastAsia"/>
          <w:sz w:val="22"/>
        </w:rPr>
        <w:t>by</w:t>
      </w:r>
      <w:r w:rsidR="009C1BB4" w:rsidRPr="00CE1271">
        <w:rPr>
          <w:rFonts w:hint="eastAsia"/>
          <w:sz w:val="22"/>
        </w:rPr>
        <w:t xml:space="preserve"> Visiting By-Fellowship</w:t>
      </w:r>
      <w:r w:rsidRPr="00CE1271">
        <w:rPr>
          <w:sz w:val="22"/>
        </w:rPr>
        <w:t xml:space="preserve">, and National Institute for Materials Science. </w:t>
      </w:r>
      <w:r w:rsidR="00723112" w:rsidRPr="00CE1271">
        <w:rPr>
          <w:rFonts w:hint="eastAsia"/>
          <w:sz w:val="22"/>
        </w:rPr>
        <w:t>This work was</w:t>
      </w:r>
      <w:r w:rsidRPr="00CE1271">
        <w:rPr>
          <w:sz w:val="22"/>
        </w:rPr>
        <w:t xml:space="preserve"> supported by </w:t>
      </w:r>
      <w:proofErr w:type="spellStart"/>
      <w:r w:rsidRPr="00CE1271">
        <w:rPr>
          <w:sz w:val="22"/>
        </w:rPr>
        <w:t>GteX</w:t>
      </w:r>
      <w:proofErr w:type="spellEnd"/>
      <w:r w:rsidRPr="00CE1271">
        <w:rPr>
          <w:sz w:val="22"/>
        </w:rPr>
        <w:t xml:space="preserve"> Program Japan Grant Number </w:t>
      </w:r>
      <w:proofErr w:type="gramStart"/>
      <w:r w:rsidRPr="00CE1271">
        <w:rPr>
          <w:sz w:val="22"/>
        </w:rPr>
        <w:t>JPMJGX23H2</w:t>
      </w:r>
      <w:r w:rsidR="00723112" w:rsidRPr="00CE1271">
        <w:rPr>
          <w:rFonts w:hint="eastAsia"/>
          <w:sz w:val="22"/>
        </w:rPr>
        <w:t>, and</w:t>
      </w:r>
      <w:proofErr w:type="gramEnd"/>
      <w:r w:rsidRPr="00CE1271">
        <w:rPr>
          <w:sz w:val="22"/>
        </w:rPr>
        <w:t xml:space="preserve"> was partially supported by </w:t>
      </w:r>
      <w:r w:rsidRPr="00CE1271">
        <w:rPr>
          <w:rFonts w:hint="eastAsia"/>
          <w:sz w:val="22"/>
        </w:rPr>
        <w:t xml:space="preserve">Japan Science and Technology Agency (JST) </w:t>
      </w:r>
      <w:r w:rsidRPr="00CE1271">
        <w:rPr>
          <w:sz w:val="22"/>
        </w:rPr>
        <w:t>as part of Adopting Sustainable Partnerships for Innovative Research Ecosystem (ASPIRE), Grant Number JPMJAP2421.</w:t>
      </w:r>
    </w:p>
    <w:p w14:paraId="28E21874" w14:textId="77777777" w:rsidR="006B2762" w:rsidRDefault="006B2762" w:rsidP="000F1A8F">
      <w:pPr>
        <w:spacing w:line="480" w:lineRule="auto"/>
        <w:jc w:val="both"/>
        <w:rPr>
          <w:b/>
          <w:bCs/>
          <w:sz w:val="22"/>
          <w:szCs w:val="22"/>
        </w:rPr>
      </w:pPr>
    </w:p>
    <w:p w14:paraId="2AEF3B93" w14:textId="7A2CEF37" w:rsidR="003561F1" w:rsidRPr="00CE1271" w:rsidRDefault="006B08DC" w:rsidP="000F1A8F">
      <w:pPr>
        <w:spacing w:line="480" w:lineRule="auto"/>
        <w:jc w:val="both"/>
        <w:rPr>
          <w:b/>
          <w:bCs/>
          <w:sz w:val="22"/>
          <w:szCs w:val="22"/>
        </w:rPr>
      </w:pPr>
      <w:r w:rsidRPr="00CE1271">
        <w:rPr>
          <w:b/>
          <w:bCs/>
          <w:sz w:val="22"/>
          <w:szCs w:val="22"/>
        </w:rPr>
        <w:t>References:</w:t>
      </w:r>
    </w:p>
    <w:p w14:paraId="5ED132D4" w14:textId="34DE7332" w:rsidR="00FD7FF1" w:rsidRPr="00CE1271" w:rsidRDefault="00FD7FF1" w:rsidP="000F1A8F">
      <w:pPr>
        <w:spacing w:line="480" w:lineRule="auto"/>
        <w:jc w:val="both"/>
        <w:rPr>
          <w:sz w:val="22"/>
          <w:szCs w:val="22"/>
        </w:rPr>
      </w:pPr>
      <w:r w:rsidRPr="00CE1271">
        <w:rPr>
          <w:sz w:val="22"/>
          <w:szCs w:val="22"/>
        </w:rPr>
        <w:t xml:space="preserve">(1) </w:t>
      </w:r>
      <w:r w:rsidR="009C04FD" w:rsidRPr="00CE1271">
        <w:rPr>
          <w:sz w:val="22"/>
          <w:szCs w:val="22"/>
        </w:rPr>
        <w:t xml:space="preserve">Butler, K. T., Davies, D. W., Cartwright, H., Isayev, O., &amp; Walsh, A. (2018). Machine learning for molecular and materials science. </w:t>
      </w:r>
      <w:r w:rsidR="009C04FD" w:rsidRPr="00CE1271">
        <w:rPr>
          <w:i/>
          <w:iCs/>
          <w:sz w:val="22"/>
          <w:szCs w:val="22"/>
        </w:rPr>
        <w:t>Nature</w:t>
      </w:r>
      <w:r w:rsidR="009C04FD" w:rsidRPr="00CE1271">
        <w:rPr>
          <w:sz w:val="22"/>
          <w:szCs w:val="22"/>
        </w:rPr>
        <w:t xml:space="preserve">, </w:t>
      </w:r>
      <w:r w:rsidR="009C04FD" w:rsidRPr="00CE1271">
        <w:rPr>
          <w:i/>
          <w:iCs/>
          <w:sz w:val="22"/>
          <w:szCs w:val="22"/>
        </w:rPr>
        <w:t>559</w:t>
      </w:r>
      <w:r w:rsidR="009C04FD" w:rsidRPr="00CE1271">
        <w:rPr>
          <w:sz w:val="22"/>
          <w:szCs w:val="22"/>
        </w:rPr>
        <w:t xml:space="preserve">(7715), 547–555. https://doi.org/10.1038/s41586-018-0337-2 </w:t>
      </w:r>
    </w:p>
    <w:p w14:paraId="0C450698" w14:textId="2928063C" w:rsidR="00FD7FF1" w:rsidRPr="00CE1271" w:rsidRDefault="00FD7FF1" w:rsidP="000F1A8F">
      <w:pPr>
        <w:spacing w:line="480" w:lineRule="auto"/>
        <w:jc w:val="both"/>
        <w:rPr>
          <w:sz w:val="22"/>
          <w:szCs w:val="22"/>
        </w:rPr>
      </w:pPr>
      <w:r w:rsidRPr="00CE1271">
        <w:rPr>
          <w:sz w:val="22"/>
          <w:szCs w:val="22"/>
        </w:rPr>
        <w:t xml:space="preserve">(2) Pollice, R., dos Passos Gomes, G., </w:t>
      </w:r>
      <w:proofErr w:type="spellStart"/>
      <w:r w:rsidRPr="00CE1271">
        <w:rPr>
          <w:sz w:val="22"/>
          <w:szCs w:val="22"/>
        </w:rPr>
        <w:t>Aldeghi</w:t>
      </w:r>
      <w:proofErr w:type="spellEnd"/>
      <w:r w:rsidRPr="00CE1271">
        <w:rPr>
          <w:sz w:val="22"/>
          <w:szCs w:val="22"/>
        </w:rPr>
        <w:t xml:space="preserve">, M., Hickman, R. J., Krenn, M., Lavigne, C., Lindner-D’Addario, M., Nigam, A., Ser, C. T., Yao, Z., &amp; </w:t>
      </w:r>
      <w:proofErr w:type="spellStart"/>
      <w:r w:rsidRPr="00CE1271">
        <w:rPr>
          <w:sz w:val="22"/>
          <w:szCs w:val="22"/>
        </w:rPr>
        <w:t>Aspuru</w:t>
      </w:r>
      <w:proofErr w:type="spellEnd"/>
      <w:r w:rsidRPr="00CE1271">
        <w:rPr>
          <w:sz w:val="22"/>
          <w:szCs w:val="22"/>
        </w:rPr>
        <w:t>-Guzik, A. (2021). Data-driven strategies for accelerated materials design.</w:t>
      </w:r>
      <w:r w:rsidR="008962E8" w:rsidRPr="00CE1271">
        <w:rPr>
          <w:sz w:val="22"/>
          <w:szCs w:val="22"/>
        </w:rPr>
        <w:t xml:space="preserve"> </w:t>
      </w:r>
      <w:r w:rsidR="008962E8" w:rsidRPr="00CE1271">
        <w:rPr>
          <w:i/>
          <w:iCs/>
          <w:sz w:val="22"/>
          <w:szCs w:val="22"/>
        </w:rPr>
        <w:t>Acc. Chem. Res.</w:t>
      </w:r>
      <w:r w:rsidRPr="00CE1271">
        <w:rPr>
          <w:sz w:val="22"/>
          <w:szCs w:val="22"/>
        </w:rPr>
        <w:t xml:space="preserve">, </w:t>
      </w:r>
      <w:r w:rsidRPr="00CE1271">
        <w:rPr>
          <w:i/>
          <w:iCs/>
          <w:sz w:val="22"/>
          <w:szCs w:val="22"/>
        </w:rPr>
        <w:t>54</w:t>
      </w:r>
      <w:r w:rsidRPr="00CE1271">
        <w:rPr>
          <w:sz w:val="22"/>
          <w:szCs w:val="22"/>
        </w:rPr>
        <w:t xml:space="preserve">(4), 849–860. https://doi.org/10.1021/acs.accounts.0c00785 </w:t>
      </w:r>
    </w:p>
    <w:p w14:paraId="4DF69358" w14:textId="7F83FAC5" w:rsidR="009C04FD" w:rsidRPr="00CE1271" w:rsidRDefault="009C04FD" w:rsidP="000F1A8F">
      <w:pPr>
        <w:spacing w:line="480" w:lineRule="auto"/>
        <w:jc w:val="both"/>
        <w:rPr>
          <w:sz w:val="22"/>
          <w:szCs w:val="22"/>
        </w:rPr>
      </w:pPr>
      <w:r w:rsidRPr="00CE1271">
        <w:rPr>
          <w:sz w:val="22"/>
          <w:szCs w:val="22"/>
        </w:rPr>
        <w:t xml:space="preserve">(3) Yao, Z., Lum, Y., Johnston, A., Mejia-Mendoza, L. M., Zhou, X., Wen, Y., </w:t>
      </w:r>
      <w:proofErr w:type="spellStart"/>
      <w:r w:rsidRPr="00CE1271">
        <w:rPr>
          <w:sz w:val="22"/>
          <w:szCs w:val="22"/>
        </w:rPr>
        <w:t>Aspuru</w:t>
      </w:r>
      <w:proofErr w:type="spellEnd"/>
      <w:r w:rsidRPr="00CE1271">
        <w:rPr>
          <w:sz w:val="22"/>
          <w:szCs w:val="22"/>
        </w:rPr>
        <w:t xml:space="preserve">-Guzik, A., Sargent, E. H., &amp; Seh, Z. W. (2022). Machine learning for a sustainable energy future. </w:t>
      </w:r>
      <w:r w:rsidR="008962E8" w:rsidRPr="00CE1271">
        <w:rPr>
          <w:i/>
          <w:iCs/>
          <w:sz w:val="22"/>
          <w:szCs w:val="22"/>
        </w:rPr>
        <w:t>Nat. Rev. Mater.</w:t>
      </w:r>
      <w:r w:rsidRPr="00CE1271">
        <w:rPr>
          <w:sz w:val="22"/>
          <w:szCs w:val="22"/>
        </w:rPr>
        <w:t xml:space="preserve">, </w:t>
      </w:r>
      <w:r w:rsidRPr="00CE1271">
        <w:rPr>
          <w:i/>
          <w:iCs/>
          <w:sz w:val="22"/>
          <w:szCs w:val="22"/>
        </w:rPr>
        <w:t>8</w:t>
      </w:r>
      <w:r w:rsidRPr="00CE1271">
        <w:rPr>
          <w:sz w:val="22"/>
          <w:szCs w:val="22"/>
        </w:rPr>
        <w:t xml:space="preserve">(3), 202–215. https://doi.org/10.1038/s41578-022-00490-5 </w:t>
      </w:r>
    </w:p>
    <w:p w14:paraId="5EE39A72" w14:textId="47F1095E" w:rsidR="009C04FD" w:rsidRPr="00CE1271" w:rsidRDefault="009C04FD" w:rsidP="000F1A8F">
      <w:pPr>
        <w:spacing w:line="480" w:lineRule="auto"/>
        <w:jc w:val="both"/>
        <w:rPr>
          <w:sz w:val="22"/>
          <w:szCs w:val="22"/>
        </w:rPr>
      </w:pPr>
      <w:r w:rsidRPr="00CE1271">
        <w:rPr>
          <w:sz w:val="22"/>
          <w:szCs w:val="22"/>
        </w:rPr>
        <w:lastRenderedPageBreak/>
        <w:t xml:space="preserve">(4) Merchant, A., </w:t>
      </w:r>
      <w:proofErr w:type="spellStart"/>
      <w:r w:rsidRPr="00CE1271">
        <w:rPr>
          <w:sz w:val="22"/>
          <w:szCs w:val="22"/>
        </w:rPr>
        <w:t>Batzner</w:t>
      </w:r>
      <w:proofErr w:type="spellEnd"/>
      <w:r w:rsidRPr="00CE1271">
        <w:rPr>
          <w:sz w:val="22"/>
          <w:szCs w:val="22"/>
        </w:rPr>
        <w:t xml:space="preserve">, S., Schoenholz, S. S., </w:t>
      </w:r>
      <w:proofErr w:type="spellStart"/>
      <w:r w:rsidRPr="00CE1271">
        <w:rPr>
          <w:sz w:val="22"/>
          <w:szCs w:val="22"/>
        </w:rPr>
        <w:t>Aykol</w:t>
      </w:r>
      <w:proofErr w:type="spellEnd"/>
      <w:r w:rsidRPr="00CE1271">
        <w:rPr>
          <w:sz w:val="22"/>
          <w:szCs w:val="22"/>
        </w:rPr>
        <w:t xml:space="preserve">, M., Cheon, G., &amp; </w:t>
      </w:r>
      <w:proofErr w:type="spellStart"/>
      <w:r w:rsidRPr="00CE1271">
        <w:rPr>
          <w:sz w:val="22"/>
          <w:szCs w:val="22"/>
        </w:rPr>
        <w:t>Cubuk</w:t>
      </w:r>
      <w:proofErr w:type="spellEnd"/>
      <w:r w:rsidRPr="00CE1271">
        <w:rPr>
          <w:sz w:val="22"/>
          <w:szCs w:val="22"/>
        </w:rPr>
        <w:t xml:space="preserve">, E. D. (2023). Scaling deep learning for materials discovery. </w:t>
      </w:r>
      <w:r w:rsidRPr="00CE1271">
        <w:rPr>
          <w:i/>
          <w:iCs/>
          <w:sz w:val="22"/>
          <w:szCs w:val="22"/>
        </w:rPr>
        <w:t>Nature</w:t>
      </w:r>
      <w:r w:rsidRPr="00CE1271">
        <w:rPr>
          <w:sz w:val="22"/>
          <w:szCs w:val="22"/>
        </w:rPr>
        <w:t xml:space="preserve">, </w:t>
      </w:r>
      <w:r w:rsidRPr="00CE1271">
        <w:rPr>
          <w:i/>
          <w:iCs/>
          <w:sz w:val="22"/>
          <w:szCs w:val="22"/>
        </w:rPr>
        <w:t>624</w:t>
      </w:r>
      <w:r w:rsidRPr="00CE1271">
        <w:rPr>
          <w:sz w:val="22"/>
          <w:szCs w:val="22"/>
        </w:rPr>
        <w:t xml:space="preserve">(7990), 80–85. https://doi.org/10.1038/s41586-023-06735-9 </w:t>
      </w:r>
    </w:p>
    <w:p w14:paraId="7F47653D" w14:textId="064F9DE2" w:rsidR="009C04FD" w:rsidRPr="00CE1271" w:rsidRDefault="009C04FD" w:rsidP="000F1A8F">
      <w:pPr>
        <w:spacing w:line="480" w:lineRule="auto"/>
        <w:jc w:val="both"/>
        <w:rPr>
          <w:sz w:val="22"/>
          <w:szCs w:val="22"/>
        </w:rPr>
      </w:pPr>
      <w:r w:rsidRPr="00CE1271">
        <w:rPr>
          <w:sz w:val="22"/>
          <w:szCs w:val="22"/>
        </w:rPr>
        <w:t xml:space="preserve">(5) Szymanski, N. J., Rendy, B., Fei, Y., Kumar, R. E., He, T., Milsted, D., McDermott, M. J., Gallant, M., </w:t>
      </w:r>
      <w:proofErr w:type="spellStart"/>
      <w:r w:rsidRPr="00CE1271">
        <w:rPr>
          <w:sz w:val="22"/>
          <w:szCs w:val="22"/>
        </w:rPr>
        <w:t>Cubuk</w:t>
      </w:r>
      <w:proofErr w:type="spellEnd"/>
      <w:r w:rsidRPr="00CE1271">
        <w:rPr>
          <w:sz w:val="22"/>
          <w:szCs w:val="22"/>
        </w:rPr>
        <w:t xml:space="preserve">, E. D., Merchant, A., Kim, H., Jain, A., Bartel, C. J., Persson, K., Zeng, Y., &amp; Ceder, G. (2023). An Autonomous Laboratory for the accelerated synthesis of novel materials. </w:t>
      </w:r>
      <w:r w:rsidRPr="00CE1271">
        <w:rPr>
          <w:i/>
          <w:iCs/>
          <w:sz w:val="22"/>
          <w:szCs w:val="22"/>
        </w:rPr>
        <w:t>Nature</w:t>
      </w:r>
      <w:r w:rsidRPr="00CE1271">
        <w:rPr>
          <w:sz w:val="22"/>
          <w:szCs w:val="22"/>
        </w:rPr>
        <w:t xml:space="preserve">, </w:t>
      </w:r>
      <w:r w:rsidRPr="00CE1271">
        <w:rPr>
          <w:i/>
          <w:iCs/>
          <w:sz w:val="22"/>
          <w:szCs w:val="22"/>
        </w:rPr>
        <w:t>624</w:t>
      </w:r>
      <w:r w:rsidRPr="00CE1271">
        <w:rPr>
          <w:sz w:val="22"/>
          <w:szCs w:val="22"/>
        </w:rPr>
        <w:t xml:space="preserve">(7990), 86–91. https://doi.org/10.1038/s41586-023-06734-w </w:t>
      </w:r>
    </w:p>
    <w:p w14:paraId="4120B52F" w14:textId="2AB071B2" w:rsidR="009C04FD" w:rsidRPr="00CE1271" w:rsidRDefault="009C04FD" w:rsidP="000F1A8F">
      <w:pPr>
        <w:spacing w:line="480" w:lineRule="auto"/>
        <w:jc w:val="both"/>
        <w:rPr>
          <w:sz w:val="22"/>
          <w:szCs w:val="22"/>
          <w:lang w:val="es-MX"/>
        </w:rPr>
      </w:pPr>
      <w:r w:rsidRPr="00CE1271">
        <w:rPr>
          <w:sz w:val="22"/>
          <w:szCs w:val="22"/>
        </w:rPr>
        <w:t xml:space="preserve">(6) Angello, N. H., Friday, D. M., Hwang, C., Yi, S., Cheng, A. H., Torres-Flores, T. C., Jira, E. R., Wang, W., </w:t>
      </w:r>
      <w:proofErr w:type="spellStart"/>
      <w:r w:rsidRPr="00CE1271">
        <w:rPr>
          <w:sz w:val="22"/>
          <w:szCs w:val="22"/>
        </w:rPr>
        <w:t>Aspuru</w:t>
      </w:r>
      <w:proofErr w:type="spellEnd"/>
      <w:r w:rsidRPr="00CE1271">
        <w:rPr>
          <w:sz w:val="22"/>
          <w:szCs w:val="22"/>
        </w:rPr>
        <w:t xml:space="preserve">-Guzik, A., Burke, M. D., Schroeder, C. M., Diao, Y., &amp; Jackson, N. E. (2024). Closed-loop transfer enables artificial intelligence to yield chemical knowledge. </w:t>
      </w:r>
      <w:r w:rsidRPr="00CE1271">
        <w:rPr>
          <w:i/>
          <w:iCs/>
          <w:sz w:val="22"/>
          <w:szCs w:val="22"/>
          <w:lang w:val="es-MX"/>
        </w:rPr>
        <w:t>Nature</w:t>
      </w:r>
      <w:r w:rsidRPr="00CE1271">
        <w:rPr>
          <w:sz w:val="22"/>
          <w:szCs w:val="22"/>
          <w:lang w:val="es-MX"/>
        </w:rPr>
        <w:t xml:space="preserve">, </w:t>
      </w:r>
      <w:r w:rsidRPr="00CE1271">
        <w:rPr>
          <w:i/>
          <w:iCs/>
          <w:sz w:val="22"/>
          <w:szCs w:val="22"/>
          <w:lang w:val="es-MX"/>
        </w:rPr>
        <w:t>633</w:t>
      </w:r>
      <w:r w:rsidRPr="00CE1271">
        <w:rPr>
          <w:sz w:val="22"/>
          <w:szCs w:val="22"/>
          <w:lang w:val="es-MX"/>
        </w:rPr>
        <w:t xml:space="preserve">(8029), 351–358. https://doi.org/10.1038/s41586-024-07892-1 </w:t>
      </w:r>
    </w:p>
    <w:p w14:paraId="25E0AB07" w14:textId="5A6156C8" w:rsidR="006B08DC" w:rsidRPr="00CE1271" w:rsidRDefault="006B08DC" w:rsidP="000F1A8F">
      <w:pPr>
        <w:spacing w:line="480" w:lineRule="auto"/>
        <w:jc w:val="both"/>
        <w:rPr>
          <w:sz w:val="22"/>
          <w:szCs w:val="22"/>
        </w:rPr>
      </w:pPr>
      <w:r w:rsidRPr="00CE1271">
        <w:rPr>
          <w:sz w:val="22"/>
          <w:szCs w:val="22"/>
          <w:lang w:val="es-MX"/>
        </w:rPr>
        <w:t>(</w:t>
      </w:r>
      <w:r w:rsidR="009C04FD" w:rsidRPr="00CE1271">
        <w:rPr>
          <w:sz w:val="22"/>
          <w:szCs w:val="22"/>
          <w:lang w:val="es-MX"/>
        </w:rPr>
        <w:t>7</w:t>
      </w:r>
      <w:r w:rsidRPr="00CE1271">
        <w:rPr>
          <w:sz w:val="22"/>
          <w:szCs w:val="22"/>
          <w:lang w:val="es-MX"/>
        </w:rPr>
        <w:t xml:space="preserve">) Motoyama, Y., Tamura, R., Yoshimi, K., Terayama, K., Ueno, T., &amp; Tsuda, K. (2022). </w:t>
      </w:r>
      <w:r w:rsidRPr="00CE1271">
        <w:rPr>
          <w:sz w:val="22"/>
          <w:szCs w:val="22"/>
        </w:rPr>
        <w:t xml:space="preserve">Bayesian optimization package: </w:t>
      </w:r>
      <w:proofErr w:type="spellStart"/>
      <w:r w:rsidRPr="00CE1271">
        <w:rPr>
          <w:sz w:val="22"/>
          <w:szCs w:val="22"/>
        </w:rPr>
        <w:t>Physbo</w:t>
      </w:r>
      <w:proofErr w:type="spellEnd"/>
      <w:r w:rsidRPr="00CE1271">
        <w:rPr>
          <w:sz w:val="22"/>
          <w:szCs w:val="22"/>
        </w:rPr>
        <w:t>.</w:t>
      </w:r>
      <w:r w:rsidR="008962E8" w:rsidRPr="00CE1271">
        <w:t xml:space="preserve"> </w:t>
      </w:r>
      <w:proofErr w:type="spellStart"/>
      <w:r w:rsidR="008962E8" w:rsidRPr="00CE1271">
        <w:rPr>
          <w:i/>
          <w:iCs/>
          <w:sz w:val="22"/>
          <w:szCs w:val="22"/>
        </w:rPr>
        <w:t>Comput</w:t>
      </w:r>
      <w:proofErr w:type="spellEnd"/>
      <w:r w:rsidR="008962E8" w:rsidRPr="00CE1271">
        <w:rPr>
          <w:i/>
          <w:iCs/>
          <w:sz w:val="22"/>
          <w:szCs w:val="22"/>
        </w:rPr>
        <w:t>. Phys. Commun.</w:t>
      </w:r>
      <w:r w:rsidRPr="00CE1271">
        <w:rPr>
          <w:sz w:val="22"/>
          <w:szCs w:val="22"/>
        </w:rPr>
        <w:t xml:space="preserve">, </w:t>
      </w:r>
      <w:r w:rsidRPr="00CE1271">
        <w:rPr>
          <w:i/>
          <w:iCs/>
          <w:sz w:val="22"/>
          <w:szCs w:val="22"/>
        </w:rPr>
        <w:t>278</w:t>
      </w:r>
      <w:r w:rsidRPr="00CE1271">
        <w:rPr>
          <w:sz w:val="22"/>
          <w:szCs w:val="22"/>
        </w:rPr>
        <w:t xml:space="preserve">, 108405. https://doi.org/10.1016/j.cpc.2022.108405 </w:t>
      </w:r>
    </w:p>
    <w:p w14:paraId="1CF3890B" w14:textId="546DEB28" w:rsidR="009C04FD" w:rsidRPr="00CE1271" w:rsidRDefault="009C04FD" w:rsidP="000F1A8F">
      <w:pPr>
        <w:spacing w:line="480" w:lineRule="auto"/>
        <w:jc w:val="both"/>
        <w:rPr>
          <w:sz w:val="22"/>
          <w:szCs w:val="22"/>
          <w:lang w:val="da-DK"/>
        </w:rPr>
      </w:pPr>
      <w:r w:rsidRPr="00CE1271">
        <w:rPr>
          <w:sz w:val="22"/>
          <w:szCs w:val="22"/>
        </w:rPr>
        <w:t>(8) Johnson, H. M., Gusev, F., Dull, J. T., Seo, Y., Priestley, R. D., Isayev, O., &amp; Rand, B. P. (2024). Discovery of crystallizable organic semiconductors with machine learning.</w:t>
      </w:r>
      <w:r w:rsidR="008962E8" w:rsidRPr="00CE1271">
        <w:rPr>
          <w:sz w:val="22"/>
          <w:szCs w:val="22"/>
        </w:rPr>
        <w:t xml:space="preserve"> </w:t>
      </w:r>
      <w:r w:rsidR="008962E8" w:rsidRPr="00CE1271">
        <w:rPr>
          <w:i/>
          <w:iCs/>
          <w:sz w:val="22"/>
          <w:szCs w:val="22"/>
        </w:rPr>
        <w:t xml:space="preserve">J. Am. </w:t>
      </w:r>
      <w:r w:rsidR="008962E8" w:rsidRPr="00CE1271">
        <w:rPr>
          <w:i/>
          <w:iCs/>
          <w:sz w:val="22"/>
          <w:szCs w:val="22"/>
          <w:lang w:val="da-DK"/>
        </w:rPr>
        <w:t>Chem. Soc.</w:t>
      </w:r>
      <w:r w:rsidRPr="00CE1271">
        <w:rPr>
          <w:i/>
          <w:iCs/>
          <w:sz w:val="22"/>
          <w:szCs w:val="22"/>
          <w:lang w:val="da-DK"/>
        </w:rPr>
        <w:t>,</w:t>
      </w:r>
      <w:r w:rsidRPr="00CE1271">
        <w:rPr>
          <w:sz w:val="22"/>
          <w:szCs w:val="22"/>
          <w:lang w:val="da-DK"/>
        </w:rPr>
        <w:t xml:space="preserve"> </w:t>
      </w:r>
      <w:r w:rsidRPr="00CE1271">
        <w:rPr>
          <w:i/>
          <w:iCs/>
          <w:sz w:val="22"/>
          <w:szCs w:val="22"/>
          <w:lang w:val="da-DK"/>
        </w:rPr>
        <w:t>146</w:t>
      </w:r>
      <w:r w:rsidRPr="00CE1271">
        <w:rPr>
          <w:sz w:val="22"/>
          <w:szCs w:val="22"/>
          <w:lang w:val="da-DK"/>
        </w:rPr>
        <w:t xml:space="preserve">(31), 21583–21590. https://doi.org/10.1021/jacs.4c05245 </w:t>
      </w:r>
    </w:p>
    <w:p w14:paraId="0070095F" w14:textId="05DB0624" w:rsidR="00A17AAC" w:rsidRPr="00CE1271" w:rsidRDefault="00A17AAC" w:rsidP="000F1A8F">
      <w:pPr>
        <w:spacing w:line="480" w:lineRule="auto"/>
        <w:jc w:val="both"/>
        <w:rPr>
          <w:sz w:val="22"/>
          <w:szCs w:val="22"/>
        </w:rPr>
      </w:pPr>
      <w:r w:rsidRPr="00CE1271">
        <w:rPr>
          <w:sz w:val="22"/>
          <w:szCs w:val="22"/>
          <w:lang w:val="da-DK"/>
        </w:rPr>
        <w:t>(</w:t>
      </w:r>
      <w:r w:rsidR="009C04FD" w:rsidRPr="00CE1271">
        <w:rPr>
          <w:sz w:val="22"/>
          <w:szCs w:val="22"/>
          <w:lang w:val="da-DK"/>
        </w:rPr>
        <w:t>9</w:t>
      </w:r>
      <w:r w:rsidRPr="00CE1271">
        <w:rPr>
          <w:sz w:val="22"/>
          <w:szCs w:val="22"/>
          <w:lang w:val="da-DK"/>
        </w:rPr>
        <w:t xml:space="preserve">) Sakaushi, K., Hoisang, W., &amp; Tamura, R. (2023). </w:t>
      </w:r>
      <w:r w:rsidRPr="00CE1271">
        <w:rPr>
          <w:sz w:val="22"/>
          <w:szCs w:val="22"/>
        </w:rPr>
        <w:t>Human–machine collaboration for accelerated discovery of promising oxygen evolution electrocatalysts with on-demand elements.</w:t>
      </w:r>
      <w:r w:rsidR="008962E8" w:rsidRPr="00CE1271">
        <w:t xml:space="preserve"> </w:t>
      </w:r>
      <w:r w:rsidR="008962E8" w:rsidRPr="00CE1271">
        <w:rPr>
          <w:i/>
          <w:iCs/>
          <w:sz w:val="22"/>
          <w:szCs w:val="22"/>
        </w:rPr>
        <w:t>ACS Cent. Sci.</w:t>
      </w:r>
      <w:r w:rsidRPr="00CE1271">
        <w:rPr>
          <w:i/>
          <w:iCs/>
          <w:sz w:val="22"/>
          <w:szCs w:val="22"/>
        </w:rPr>
        <w:t>,</w:t>
      </w:r>
      <w:r w:rsidRPr="00CE1271">
        <w:rPr>
          <w:sz w:val="22"/>
          <w:szCs w:val="22"/>
        </w:rPr>
        <w:t xml:space="preserve"> </w:t>
      </w:r>
      <w:r w:rsidRPr="00CE1271">
        <w:rPr>
          <w:i/>
          <w:iCs/>
          <w:sz w:val="22"/>
          <w:szCs w:val="22"/>
        </w:rPr>
        <w:t>9</w:t>
      </w:r>
      <w:r w:rsidRPr="00CE1271">
        <w:rPr>
          <w:sz w:val="22"/>
          <w:szCs w:val="22"/>
        </w:rPr>
        <w:t xml:space="preserve">(12), 2216–2224. https://doi.org/10.1021/acscentsci.3c01009 </w:t>
      </w:r>
    </w:p>
    <w:p w14:paraId="7ACD9314" w14:textId="65F56F67" w:rsidR="009C04FD" w:rsidRPr="00CE1271" w:rsidRDefault="009C04FD" w:rsidP="009C04FD">
      <w:pPr>
        <w:spacing w:line="480" w:lineRule="auto"/>
        <w:jc w:val="both"/>
        <w:rPr>
          <w:sz w:val="22"/>
          <w:szCs w:val="22"/>
        </w:rPr>
      </w:pPr>
      <w:r w:rsidRPr="00CE1271">
        <w:rPr>
          <w:sz w:val="22"/>
          <w:szCs w:val="22"/>
        </w:rPr>
        <w:lastRenderedPageBreak/>
        <w:t>(10) Esterhuizen, J. A., Mathur, A., Goldsmith, B. R., &amp; Linic, S. (2024). High-performance iridium–molybdenum oxide electrocatalysts for water oxidation in acid: Bayesian optimization discovery and experimental testing.</w:t>
      </w:r>
      <w:r w:rsidR="008962E8" w:rsidRPr="00CE1271">
        <w:rPr>
          <w:sz w:val="22"/>
          <w:szCs w:val="22"/>
        </w:rPr>
        <w:t xml:space="preserve"> </w:t>
      </w:r>
      <w:r w:rsidR="008962E8" w:rsidRPr="00CE1271">
        <w:rPr>
          <w:i/>
          <w:iCs/>
          <w:sz w:val="22"/>
          <w:szCs w:val="22"/>
        </w:rPr>
        <w:t>J. Am. Chem. Soc.</w:t>
      </w:r>
      <w:r w:rsidRPr="00CE1271">
        <w:rPr>
          <w:i/>
          <w:iCs/>
          <w:sz w:val="22"/>
          <w:szCs w:val="22"/>
        </w:rPr>
        <w:t>,</w:t>
      </w:r>
      <w:r w:rsidRPr="00CE1271">
        <w:rPr>
          <w:sz w:val="22"/>
          <w:szCs w:val="22"/>
        </w:rPr>
        <w:t xml:space="preserve"> </w:t>
      </w:r>
      <w:r w:rsidRPr="00CE1271">
        <w:rPr>
          <w:i/>
          <w:iCs/>
          <w:sz w:val="22"/>
          <w:szCs w:val="22"/>
        </w:rPr>
        <w:t>146</w:t>
      </w:r>
      <w:r w:rsidRPr="00CE1271">
        <w:rPr>
          <w:sz w:val="22"/>
          <w:szCs w:val="22"/>
        </w:rPr>
        <w:t xml:space="preserve">(8), 5511–5522. https://doi.org/10.1021/jacs.3c13491 </w:t>
      </w:r>
    </w:p>
    <w:p w14:paraId="762C85DF" w14:textId="1E4D6F99" w:rsidR="009C04FD" w:rsidRPr="00CE1271" w:rsidRDefault="009C04FD" w:rsidP="000F1A8F">
      <w:pPr>
        <w:spacing w:line="480" w:lineRule="auto"/>
        <w:jc w:val="both"/>
        <w:rPr>
          <w:sz w:val="22"/>
          <w:szCs w:val="22"/>
        </w:rPr>
      </w:pPr>
      <w:r w:rsidRPr="00CE1271">
        <w:rPr>
          <w:sz w:val="22"/>
          <w:szCs w:val="22"/>
        </w:rPr>
        <w:t xml:space="preserve">(11) </w:t>
      </w:r>
      <w:r w:rsidR="00E81F1A" w:rsidRPr="00CE1271">
        <w:rPr>
          <w:rFonts w:hint="eastAsia"/>
          <w:sz w:val="22"/>
          <w:szCs w:val="22"/>
        </w:rPr>
        <w:t>Wang</w:t>
      </w:r>
      <w:r w:rsidR="001A0FC3" w:rsidRPr="00CE1271">
        <w:rPr>
          <w:rFonts w:hint="eastAsia"/>
          <w:sz w:val="22"/>
          <w:szCs w:val="22"/>
        </w:rPr>
        <w:t xml:space="preserve">, M., Sakaushi, K. (2025). </w:t>
      </w:r>
      <w:r w:rsidR="007B747C" w:rsidRPr="00CE1271">
        <w:rPr>
          <w:sz w:val="22"/>
          <w:szCs w:val="22"/>
        </w:rPr>
        <w:t>Accelerated Electrocatalyst Degradation Testing by Accurate and Robust Forecasting of Multidimensional Kinetic Model with Bayesian Data Assimilation</w:t>
      </w:r>
      <w:r w:rsidR="007B747C" w:rsidRPr="00CE1271">
        <w:rPr>
          <w:rFonts w:hint="eastAsia"/>
          <w:sz w:val="22"/>
          <w:szCs w:val="22"/>
        </w:rPr>
        <w:t xml:space="preserve">. </w:t>
      </w:r>
      <w:r w:rsidR="007B747C" w:rsidRPr="00CE1271">
        <w:rPr>
          <w:rFonts w:hint="eastAsia"/>
          <w:i/>
          <w:iCs/>
          <w:sz w:val="22"/>
          <w:szCs w:val="22"/>
        </w:rPr>
        <w:t>ACS Energy Lett</w:t>
      </w:r>
      <w:r w:rsidR="0034057A" w:rsidRPr="00CE1271">
        <w:rPr>
          <w:rFonts w:hint="eastAsia"/>
          <w:sz w:val="22"/>
          <w:szCs w:val="22"/>
        </w:rPr>
        <w:t xml:space="preserve">., 10(1), </w:t>
      </w:r>
      <w:r w:rsidR="00187F31" w:rsidRPr="00CE1271">
        <w:rPr>
          <w:rFonts w:hint="eastAsia"/>
          <w:sz w:val="22"/>
          <w:szCs w:val="22"/>
        </w:rPr>
        <w:t xml:space="preserve">22-29. </w:t>
      </w:r>
      <w:r w:rsidR="005374AF" w:rsidRPr="00CE1271">
        <w:rPr>
          <w:sz w:val="22"/>
          <w:szCs w:val="22"/>
        </w:rPr>
        <w:t>https://doi.org/10.1021/acsenergylett.4c02868</w:t>
      </w:r>
    </w:p>
    <w:p w14:paraId="370DFB31" w14:textId="39DF1E3B" w:rsidR="006B08DC" w:rsidRPr="00CE1271" w:rsidRDefault="006B08DC" w:rsidP="000F1A8F">
      <w:pPr>
        <w:spacing w:line="480" w:lineRule="auto"/>
        <w:jc w:val="both"/>
        <w:rPr>
          <w:sz w:val="22"/>
          <w:szCs w:val="22"/>
        </w:rPr>
      </w:pPr>
      <w:r w:rsidRPr="00CE1271">
        <w:rPr>
          <w:sz w:val="22"/>
          <w:szCs w:val="22"/>
        </w:rPr>
        <w:t>(</w:t>
      </w:r>
      <w:r w:rsidR="00C51260" w:rsidRPr="00CE1271">
        <w:rPr>
          <w:sz w:val="22"/>
          <w:szCs w:val="22"/>
        </w:rPr>
        <w:t>12</w:t>
      </w:r>
      <w:r w:rsidRPr="00CE1271">
        <w:rPr>
          <w:sz w:val="22"/>
          <w:szCs w:val="22"/>
        </w:rPr>
        <w:t xml:space="preserve">) Rao, Z., Tung, P.-Y., Xie, R., Wei, Y., Zhang, H., Ferrari, A., Klaver, T. P. C., </w:t>
      </w:r>
      <w:proofErr w:type="spellStart"/>
      <w:r w:rsidRPr="00CE1271">
        <w:rPr>
          <w:sz w:val="22"/>
          <w:szCs w:val="22"/>
        </w:rPr>
        <w:t>Körmann</w:t>
      </w:r>
      <w:proofErr w:type="spellEnd"/>
      <w:r w:rsidRPr="00CE1271">
        <w:rPr>
          <w:sz w:val="22"/>
          <w:szCs w:val="22"/>
        </w:rPr>
        <w:t xml:space="preserve">, F., Sukumar, P. T., Kwiatkowski da Silva, A., Chen, Y., Li, Z., </w:t>
      </w:r>
      <w:proofErr w:type="spellStart"/>
      <w:r w:rsidRPr="00CE1271">
        <w:rPr>
          <w:sz w:val="22"/>
          <w:szCs w:val="22"/>
        </w:rPr>
        <w:t>Ponge</w:t>
      </w:r>
      <w:proofErr w:type="spellEnd"/>
      <w:r w:rsidRPr="00CE1271">
        <w:rPr>
          <w:sz w:val="22"/>
          <w:szCs w:val="22"/>
        </w:rPr>
        <w:t xml:space="preserve">, D., Neugebauer, J., </w:t>
      </w:r>
      <w:proofErr w:type="spellStart"/>
      <w:r w:rsidRPr="00CE1271">
        <w:rPr>
          <w:sz w:val="22"/>
          <w:szCs w:val="22"/>
        </w:rPr>
        <w:t>Gutfleisch</w:t>
      </w:r>
      <w:proofErr w:type="spellEnd"/>
      <w:r w:rsidRPr="00CE1271">
        <w:rPr>
          <w:sz w:val="22"/>
          <w:szCs w:val="22"/>
        </w:rPr>
        <w:t xml:space="preserve">, O., Bauer, S., &amp; Raabe, D. (2022). Machine learning–enabled high-entropy alloy discovery. </w:t>
      </w:r>
      <w:r w:rsidRPr="00CE1271">
        <w:rPr>
          <w:i/>
          <w:iCs/>
          <w:sz w:val="22"/>
          <w:szCs w:val="22"/>
        </w:rPr>
        <w:t>Science</w:t>
      </w:r>
      <w:r w:rsidRPr="00CE1271">
        <w:rPr>
          <w:sz w:val="22"/>
          <w:szCs w:val="22"/>
        </w:rPr>
        <w:t xml:space="preserve">, </w:t>
      </w:r>
      <w:r w:rsidRPr="00CE1271">
        <w:rPr>
          <w:i/>
          <w:iCs/>
          <w:sz w:val="22"/>
          <w:szCs w:val="22"/>
        </w:rPr>
        <w:t>378</w:t>
      </w:r>
      <w:r w:rsidRPr="00CE1271">
        <w:rPr>
          <w:sz w:val="22"/>
          <w:szCs w:val="22"/>
        </w:rPr>
        <w:t xml:space="preserve">(6615), 78–85. https://doi.org/10.1126/science.abo4940 </w:t>
      </w:r>
    </w:p>
    <w:p w14:paraId="2E6A63DD" w14:textId="49C2175C" w:rsidR="006B08DC" w:rsidRPr="00CE1271" w:rsidRDefault="006B08DC" w:rsidP="000F1A8F">
      <w:pPr>
        <w:spacing w:line="480" w:lineRule="auto"/>
        <w:jc w:val="both"/>
        <w:rPr>
          <w:sz w:val="22"/>
          <w:szCs w:val="22"/>
        </w:rPr>
      </w:pPr>
      <w:r w:rsidRPr="00CE1271">
        <w:rPr>
          <w:sz w:val="22"/>
          <w:szCs w:val="22"/>
        </w:rPr>
        <w:t>(</w:t>
      </w:r>
      <w:r w:rsidR="00C51260" w:rsidRPr="00CE1271">
        <w:rPr>
          <w:sz w:val="22"/>
          <w:szCs w:val="22"/>
        </w:rPr>
        <w:t>13</w:t>
      </w:r>
      <w:r w:rsidRPr="00CE1271">
        <w:rPr>
          <w:sz w:val="22"/>
          <w:szCs w:val="22"/>
        </w:rPr>
        <w:t>) Johnson, H. M., Gusev, F., Dull, J. T., Seo, Y., Priestley, R. D., Isayev, O., &amp; Rand, B. P. (2024). Discovery of crystallizable organic semiconductors with machine learning.</w:t>
      </w:r>
      <w:r w:rsidR="008962E8" w:rsidRPr="00CE1271">
        <w:t xml:space="preserve"> </w:t>
      </w:r>
      <w:r w:rsidR="008962E8" w:rsidRPr="00CE1271">
        <w:rPr>
          <w:i/>
          <w:iCs/>
          <w:sz w:val="22"/>
          <w:szCs w:val="22"/>
        </w:rPr>
        <w:t>J. Am. Chem. Soc.,</w:t>
      </w:r>
      <w:r w:rsidRPr="00CE1271">
        <w:rPr>
          <w:sz w:val="22"/>
          <w:szCs w:val="22"/>
        </w:rPr>
        <w:t xml:space="preserve"> </w:t>
      </w:r>
      <w:r w:rsidRPr="00CE1271">
        <w:rPr>
          <w:i/>
          <w:iCs/>
          <w:sz w:val="22"/>
          <w:szCs w:val="22"/>
        </w:rPr>
        <w:t>146</w:t>
      </w:r>
      <w:r w:rsidRPr="00CE1271">
        <w:rPr>
          <w:sz w:val="22"/>
          <w:szCs w:val="22"/>
        </w:rPr>
        <w:t xml:space="preserve">(31), 21583–21590. https://doi.org/10.1021/jacs.4c05245 </w:t>
      </w:r>
    </w:p>
    <w:p w14:paraId="4285DFB0" w14:textId="31B65697" w:rsidR="006B08DC" w:rsidRPr="00CE1271" w:rsidRDefault="006B08DC" w:rsidP="000F1A8F">
      <w:pPr>
        <w:spacing w:line="480" w:lineRule="auto"/>
        <w:jc w:val="both"/>
        <w:rPr>
          <w:sz w:val="22"/>
          <w:szCs w:val="22"/>
        </w:rPr>
      </w:pPr>
      <w:r w:rsidRPr="00CE1271">
        <w:rPr>
          <w:sz w:val="22"/>
          <w:szCs w:val="22"/>
        </w:rPr>
        <w:t>(</w:t>
      </w:r>
      <w:r w:rsidR="00C51260" w:rsidRPr="00CE1271">
        <w:rPr>
          <w:sz w:val="22"/>
          <w:szCs w:val="22"/>
        </w:rPr>
        <w:t>14</w:t>
      </w:r>
      <w:r w:rsidRPr="00CE1271">
        <w:rPr>
          <w:sz w:val="22"/>
          <w:szCs w:val="22"/>
        </w:rPr>
        <w:t xml:space="preserve">) </w:t>
      </w:r>
      <w:proofErr w:type="spellStart"/>
      <w:r w:rsidRPr="00CE1271">
        <w:rPr>
          <w:sz w:val="22"/>
          <w:szCs w:val="22"/>
        </w:rPr>
        <w:t>Ristoski</w:t>
      </w:r>
      <w:proofErr w:type="spellEnd"/>
      <w:r w:rsidRPr="00CE1271">
        <w:rPr>
          <w:sz w:val="22"/>
          <w:szCs w:val="22"/>
        </w:rPr>
        <w:t xml:space="preserve">, P., Zubarev, D. Y., Gentile, A. L., Park, N., Sanders, D., Gruhl, D., Kato, L., &amp; Welch, S. (2020). Expert-in-the-loop AI for polymer discovery. </w:t>
      </w:r>
      <w:r w:rsidRPr="00CE1271">
        <w:rPr>
          <w:i/>
          <w:iCs/>
          <w:sz w:val="22"/>
          <w:szCs w:val="22"/>
        </w:rPr>
        <w:t>Proceedings of the 29th ACM International Conference on Information &amp; Knowledge Management</w:t>
      </w:r>
      <w:r w:rsidRPr="00CE1271">
        <w:rPr>
          <w:sz w:val="22"/>
          <w:szCs w:val="22"/>
        </w:rPr>
        <w:t xml:space="preserve">, 2701–2708. https://doi.org/10.1145/3340531.3416020 </w:t>
      </w:r>
    </w:p>
    <w:p w14:paraId="20D60C8C" w14:textId="45F33AE6" w:rsidR="00FD7FF1" w:rsidRPr="00CE1271" w:rsidRDefault="00FD7FF1" w:rsidP="000F1A8F">
      <w:pPr>
        <w:spacing w:line="480" w:lineRule="auto"/>
        <w:jc w:val="both"/>
        <w:rPr>
          <w:sz w:val="22"/>
          <w:szCs w:val="22"/>
        </w:rPr>
      </w:pPr>
      <w:r w:rsidRPr="00CE1271">
        <w:rPr>
          <w:sz w:val="22"/>
          <w:szCs w:val="22"/>
        </w:rPr>
        <w:t>(</w:t>
      </w:r>
      <w:r w:rsidR="00C51260" w:rsidRPr="00CE1271">
        <w:rPr>
          <w:sz w:val="22"/>
          <w:szCs w:val="22"/>
        </w:rPr>
        <w:t>15</w:t>
      </w:r>
      <w:r w:rsidRPr="00CE1271">
        <w:rPr>
          <w:sz w:val="22"/>
          <w:szCs w:val="22"/>
        </w:rPr>
        <w:t>) Hoisang, W., &amp; Sakaushi, K. (2022). Key criteria for next-generation dimensionally stable electrodes towards large-scale green hydrogen production by water electrolysis.</w:t>
      </w:r>
      <w:r w:rsidR="008962E8" w:rsidRPr="00CE1271">
        <w:rPr>
          <w:sz w:val="22"/>
          <w:szCs w:val="22"/>
        </w:rPr>
        <w:t xml:space="preserve"> </w:t>
      </w:r>
      <w:r w:rsidR="008962E8" w:rsidRPr="00CE1271">
        <w:rPr>
          <w:i/>
          <w:iCs/>
          <w:sz w:val="22"/>
          <w:szCs w:val="22"/>
        </w:rPr>
        <w:t xml:space="preserve">Curr. </w:t>
      </w:r>
      <w:proofErr w:type="spellStart"/>
      <w:r w:rsidR="008962E8" w:rsidRPr="00CE1271">
        <w:rPr>
          <w:i/>
          <w:iCs/>
          <w:sz w:val="22"/>
          <w:szCs w:val="22"/>
        </w:rPr>
        <w:t>Opin</w:t>
      </w:r>
      <w:proofErr w:type="spellEnd"/>
      <w:r w:rsidR="008962E8" w:rsidRPr="00CE1271">
        <w:rPr>
          <w:i/>
          <w:iCs/>
          <w:sz w:val="22"/>
          <w:szCs w:val="22"/>
        </w:rPr>
        <w:t xml:space="preserve">. </w:t>
      </w:r>
      <w:proofErr w:type="spellStart"/>
      <w:r w:rsidR="008962E8" w:rsidRPr="00CE1271">
        <w:rPr>
          <w:i/>
          <w:iCs/>
          <w:sz w:val="22"/>
          <w:szCs w:val="22"/>
        </w:rPr>
        <w:t>Electrochem</w:t>
      </w:r>
      <w:proofErr w:type="spellEnd"/>
      <w:r w:rsidR="008962E8" w:rsidRPr="00CE1271">
        <w:rPr>
          <w:i/>
          <w:iCs/>
          <w:sz w:val="22"/>
          <w:szCs w:val="22"/>
        </w:rPr>
        <w:t>.</w:t>
      </w:r>
      <w:r w:rsidRPr="00CE1271">
        <w:rPr>
          <w:sz w:val="22"/>
          <w:szCs w:val="22"/>
        </w:rPr>
        <w:t xml:space="preserve">, </w:t>
      </w:r>
      <w:r w:rsidRPr="00CE1271">
        <w:rPr>
          <w:i/>
          <w:iCs/>
          <w:sz w:val="22"/>
          <w:szCs w:val="22"/>
        </w:rPr>
        <w:t>36</w:t>
      </w:r>
      <w:r w:rsidRPr="00CE1271">
        <w:rPr>
          <w:sz w:val="22"/>
          <w:szCs w:val="22"/>
        </w:rPr>
        <w:t xml:space="preserve">, 101136. https://doi.org/10.1016/j.coelec.2022.101136 </w:t>
      </w:r>
    </w:p>
    <w:p w14:paraId="448BE73C" w14:textId="0A781A38" w:rsidR="006F56F8" w:rsidRPr="00CE1271" w:rsidRDefault="00CC0D33" w:rsidP="00CC0D33">
      <w:pPr>
        <w:spacing w:line="480" w:lineRule="auto"/>
        <w:jc w:val="both"/>
        <w:rPr>
          <w:sz w:val="22"/>
          <w:szCs w:val="22"/>
        </w:rPr>
      </w:pPr>
      <w:r w:rsidRPr="00CE1271">
        <w:rPr>
          <w:sz w:val="22"/>
          <w:szCs w:val="22"/>
        </w:rPr>
        <w:lastRenderedPageBreak/>
        <w:t>(</w:t>
      </w:r>
      <w:r w:rsidR="00C51260" w:rsidRPr="00CE1271">
        <w:rPr>
          <w:sz w:val="22"/>
          <w:szCs w:val="22"/>
        </w:rPr>
        <w:t>16</w:t>
      </w:r>
      <w:r w:rsidRPr="00CE1271">
        <w:rPr>
          <w:sz w:val="22"/>
          <w:szCs w:val="22"/>
        </w:rPr>
        <w:t xml:space="preserve">) </w:t>
      </w:r>
      <w:proofErr w:type="spellStart"/>
      <w:r w:rsidRPr="00CE1271">
        <w:rPr>
          <w:sz w:val="22"/>
          <w:szCs w:val="22"/>
        </w:rPr>
        <w:t>Strmcnik</w:t>
      </w:r>
      <w:proofErr w:type="spellEnd"/>
      <w:r w:rsidRPr="00CE1271">
        <w:rPr>
          <w:sz w:val="22"/>
          <w:szCs w:val="22"/>
        </w:rPr>
        <w:t xml:space="preserve">, D., Lopes, P. P., </w:t>
      </w:r>
      <w:proofErr w:type="spellStart"/>
      <w:r w:rsidRPr="00CE1271">
        <w:rPr>
          <w:sz w:val="22"/>
          <w:szCs w:val="22"/>
        </w:rPr>
        <w:t>Genorio</w:t>
      </w:r>
      <w:proofErr w:type="spellEnd"/>
      <w:r w:rsidRPr="00CE1271">
        <w:rPr>
          <w:sz w:val="22"/>
          <w:szCs w:val="22"/>
        </w:rPr>
        <w:t xml:space="preserve">, B., </w:t>
      </w:r>
      <w:proofErr w:type="spellStart"/>
      <w:r w:rsidRPr="00CE1271">
        <w:rPr>
          <w:sz w:val="22"/>
          <w:szCs w:val="22"/>
        </w:rPr>
        <w:t>Stamenkovic</w:t>
      </w:r>
      <w:proofErr w:type="spellEnd"/>
      <w:r w:rsidRPr="00CE1271">
        <w:rPr>
          <w:sz w:val="22"/>
          <w:szCs w:val="22"/>
        </w:rPr>
        <w:t xml:space="preserve">, V. R., &amp; Markovic, N. M. (2016). Design principles for hydrogen evolution reaction catalyst materials. </w:t>
      </w:r>
      <w:r w:rsidRPr="00CE1271">
        <w:rPr>
          <w:i/>
          <w:iCs/>
          <w:sz w:val="22"/>
          <w:szCs w:val="22"/>
        </w:rPr>
        <w:t>Nano Energy</w:t>
      </w:r>
      <w:r w:rsidRPr="00CE1271">
        <w:rPr>
          <w:sz w:val="22"/>
          <w:szCs w:val="22"/>
        </w:rPr>
        <w:t xml:space="preserve">, </w:t>
      </w:r>
      <w:r w:rsidRPr="00CE1271">
        <w:rPr>
          <w:i/>
          <w:iCs/>
          <w:sz w:val="22"/>
          <w:szCs w:val="22"/>
        </w:rPr>
        <w:t>29</w:t>
      </w:r>
      <w:r w:rsidRPr="00CE1271">
        <w:rPr>
          <w:sz w:val="22"/>
          <w:szCs w:val="22"/>
        </w:rPr>
        <w:t xml:space="preserve">, 29–36. https://doi.org/10.1016/j.nanoen.2016.04.017 </w:t>
      </w:r>
    </w:p>
    <w:p w14:paraId="53B729AE" w14:textId="49EBA85A" w:rsidR="00C51260" w:rsidRPr="00CE1271" w:rsidRDefault="00C51260" w:rsidP="00CC0D33">
      <w:pPr>
        <w:spacing w:line="480" w:lineRule="auto"/>
        <w:jc w:val="both"/>
        <w:rPr>
          <w:sz w:val="22"/>
          <w:szCs w:val="22"/>
        </w:rPr>
      </w:pPr>
      <w:r w:rsidRPr="00CE1271">
        <w:rPr>
          <w:sz w:val="22"/>
          <w:szCs w:val="22"/>
          <w:lang w:val="da-DK"/>
        </w:rPr>
        <w:t xml:space="preserve">(17) Caspari, W. A. (1899). Ueber elektrolytische gasentwickelung. </w:t>
      </w:r>
      <w:proofErr w:type="spellStart"/>
      <w:r w:rsidRPr="00CE1271">
        <w:rPr>
          <w:i/>
          <w:iCs/>
          <w:sz w:val="22"/>
          <w:szCs w:val="22"/>
        </w:rPr>
        <w:t>Zeitschrift</w:t>
      </w:r>
      <w:proofErr w:type="spellEnd"/>
      <w:r w:rsidRPr="00CE1271">
        <w:rPr>
          <w:i/>
          <w:iCs/>
          <w:sz w:val="22"/>
          <w:szCs w:val="22"/>
        </w:rPr>
        <w:t xml:space="preserve"> Für </w:t>
      </w:r>
      <w:proofErr w:type="spellStart"/>
      <w:r w:rsidRPr="00CE1271">
        <w:rPr>
          <w:i/>
          <w:iCs/>
          <w:sz w:val="22"/>
          <w:szCs w:val="22"/>
        </w:rPr>
        <w:t>Physikalische</w:t>
      </w:r>
      <w:proofErr w:type="spellEnd"/>
      <w:r w:rsidRPr="00CE1271">
        <w:rPr>
          <w:i/>
          <w:iCs/>
          <w:sz w:val="22"/>
          <w:szCs w:val="22"/>
        </w:rPr>
        <w:t xml:space="preserve"> Chemie</w:t>
      </w:r>
      <w:r w:rsidRPr="00CE1271">
        <w:rPr>
          <w:sz w:val="22"/>
          <w:szCs w:val="22"/>
        </w:rPr>
        <w:t xml:space="preserve">, </w:t>
      </w:r>
      <w:r w:rsidRPr="00CE1271">
        <w:rPr>
          <w:i/>
          <w:iCs/>
          <w:sz w:val="22"/>
          <w:szCs w:val="22"/>
        </w:rPr>
        <w:t>30</w:t>
      </w:r>
      <w:proofErr w:type="gramStart"/>
      <w:r w:rsidRPr="00CE1271">
        <w:rPr>
          <w:i/>
          <w:iCs/>
          <w:sz w:val="22"/>
          <w:szCs w:val="22"/>
        </w:rPr>
        <w:t>U</w:t>
      </w:r>
      <w:r w:rsidRPr="00CE1271">
        <w:rPr>
          <w:sz w:val="22"/>
          <w:szCs w:val="22"/>
        </w:rPr>
        <w:t>(</w:t>
      </w:r>
      <w:proofErr w:type="gramEnd"/>
      <w:r w:rsidRPr="00CE1271">
        <w:rPr>
          <w:sz w:val="22"/>
          <w:szCs w:val="22"/>
        </w:rPr>
        <w:t xml:space="preserve">1), 89–97. https://doi.org/10.1515/zpch-1899-3004 </w:t>
      </w:r>
    </w:p>
    <w:p w14:paraId="682FA120" w14:textId="6B1429A0" w:rsidR="00C51260" w:rsidRPr="00CE1271" w:rsidRDefault="00C51260" w:rsidP="00CC0D33">
      <w:pPr>
        <w:spacing w:line="480" w:lineRule="auto"/>
        <w:jc w:val="both"/>
        <w:rPr>
          <w:sz w:val="22"/>
          <w:szCs w:val="22"/>
        </w:rPr>
      </w:pPr>
      <w:r w:rsidRPr="00CE1271">
        <w:rPr>
          <w:sz w:val="22"/>
          <w:szCs w:val="22"/>
        </w:rPr>
        <w:t xml:space="preserve">(18) Tafel, J. (1905). </w:t>
      </w:r>
      <w:proofErr w:type="spellStart"/>
      <w:r w:rsidRPr="00CE1271">
        <w:rPr>
          <w:sz w:val="22"/>
          <w:szCs w:val="22"/>
        </w:rPr>
        <w:t>Über</w:t>
      </w:r>
      <w:proofErr w:type="spellEnd"/>
      <w:r w:rsidRPr="00CE1271">
        <w:rPr>
          <w:sz w:val="22"/>
          <w:szCs w:val="22"/>
        </w:rPr>
        <w:t xml:space="preserve"> die </w:t>
      </w:r>
      <w:proofErr w:type="spellStart"/>
      <w:r w:rsidRPr="00CE1271">
        <w:rPr>
          <w:sz w:val="22"/>
          <w:szCs w:val="22"/>
        </w:rPr>
        <w:t>polarisation</w:t>
      </w:r>
      <w:proofErr w:type="spellEnd"/>
      <w:r w:rsidRPr="00CE1271">
        <w:rPr>
          <w:sz w:val="22"/>
          <w:szCs w:val="22"/>
        </w:rPr>
        <w:t xml:space="preserve"> Bei </w:t>
      </w:r>
      <w:proofErr w:type="spellStart"/>
      <w:r w:rsidRPr="00CE1271">
        <w:rPr>
          <w:sz w:val="22"/>
          <w:szCs w:val="22"/>
        </w:rPr>
        <w:t>Kathodischer</w:t>
      </w:r>
      <w:proofErr w:type="spellEnd"/>
      <w:r w:rsidRPr="00CE1271">
        <w:rPr>
          <w:sz w:val="22"/>
          <w:szCs w:val="22"/>
        </w:rPr>
        <w:t xml:space="preserve"> </w:t>
      </w:r>
      <w:proofErr w:type="spellStart"/>
      <w:r w:rsidRPr="00CE1271">
        <w:rPr>
          <w:sz w:val="22"/>
          <w:szCs w:val="22"/>
        </w:rPr>
        <w:t>Wasserstoffentwicklung</w:t>
      </w:r>
      <w:proofErr w:type="spellEnd"/>
      <w:r w:rsidRPr="00CE1271">
        <w:rPr>
          <w:sz w:val="22"/>
          <w:szCs w:val="22"/>
        </w:rPr>
        <w:t xml:space="preserve">. </w:t>
      </w:r>
      <w:proofErr w:type="spellStart"/>
      <w:r w:rsidRPr="00CE1271">
        <w:rPr>
          <w:i/>
          <w:iCs/>
          <w:sz w:val="22"/>
          <w:szCs w:val="22"/>
        </w:rPr>
        <w:t>Zeitschrift</w:t>
      </w:r>
      <w:proofErr w:type="spellEnd"/>
      <w:r w:rsidRPr="00CE1271">
        <w:rPr>
          <w:i/>
          <w:iCs/>
          <w:sz w:val="22"/>
          <w:szCs w:val="22"/>
        </w:rPr>
        <w:t xml:space="preserve"> Für </w:t>
      </w:r>
      <w:proofErr w:type="spellStart"/>
      <w:r w:rsidRPr="00CE1271">
        <w:rPr>
          <w:i/>
          <w:iCs/>
          <w:sz w:val="22"/>
          <w:szCs w:val="22"/>
        </w:rPr>
        <w:t>Physikalische</w:t>
      </w:r>
      <w:proofErr w:type="spellEnd"/>
      <w:r w:rsidRPr="00CE1271">
        <w:rPr>
          <w:i/>
          <w:iCs/>
          <w:sz w:val="22"/>
          <w:szCs w:val="22"/>
        </w:rPr>
        <w:t xml:space="preserve"> Chemie</w:t>
      </w:r>
      <w:r w:rsidRPr="00CE1271">
        <w:rPr>
          <w:sz w:val="22"/>
          <w:szCs w:val="22"/>
        </w:rPr>
        <w:t xml:space="preserve">, </w:t>
      </w:r>
      <w:r w:rsidRPr="00CE1271">
        <w:rPr>
          <w:i/>
          <w:iCs/>
          <w:sz w:val="22"/>
          <w:szCs w:val="22"/>
        </w:rPr>
        <w:t>50</w:t>
      </w:r>
      <w:proofErr w:type="gramStart"/>
      <w:r w:rsidRPr="00CE1271">
        <w:rPr>
          <w:i/>
          <w:iCs/>
          <w:sz w:val="22"/>
          <w:szCs w:val="22"/>
        </w:rPr>
        <w:t>U</w:t>
      </w:r>
      <w:r w:rsidRPr="00CE1271">
        <w:rPr>
          <w:sz w:val="22"/>
          <w:szCs w:val="22"/>
        </w:rPr>
        <w:t>(</w:t>
      </w:r>
      <w:proofErr w:type="gramEnd"/>
      <w:r w:rsidRPr="00CE1271">
        <w:rPr>
          <w:sz w:val="22"/>
          <w:szCs w:val="22"/>
        </w:rPr>
        <w:t xml:space="preserve">1), 641–712. https://doi.org/10.1515/zpch-1905-5043 </w:t>
      </w:r>
    </w:p>
    <w:p w14:paraId="6F0C1B55" w14:textId="11B09B50" w:rsidR="00C51260" w:rsidRPr="00CE1271" w:rsidRDefault="00C51260" w:rsidP="00CC0D33">
      <w:pPr>
        <w:spacing w:line="480" w:lineRule="auto"/>
        <w:jc w:val="both"/>
        <w:rPr>
          <w:sz w:val="22"/>
          <w:szCs w:val="22"/>
        </w:rPr>
      </w:pPr>
      <w:r w:rsidRPr="00CE1271">
        <w:rPr>
          <w:sz w:val="22"/>
          <w:szCs w:val="22"/>
        </w:rPr>
        <w:t>(19)</w:t>
      </w:r>
      <w:r w:rsidR="00B216D0" w:rsidRPr="00CE1271">
        <w:rPr>
          <w:sz w:val="22"/>
          <w:szCs w:val="22"/>
        </w:rPr>
        <w:t xml:space="preserve"> The quantum mechanics of Electrolysis. (1931). </w:t>
      </w:r>
      <w:r w:rsidR="00B216D0" w:rsidRPr="00CE1271">
        <w:rPr>
          <w:i/>
          <w:iCs/>
          <w:sz w:val="22"/>
          <w:szCs w:val="22"/>
        </w:rPr>
        <w:t>Proceedings of the Royal Society of London. Series A, Containing Papers of a Mathematical and Physical Character</w:t>
      </w:r>
      <w:r w:rsidR="00B216D0" w:rsidRPr="00CE1271">
        <w:rPr>
          <w:sz w:val="22"/>
          <w:szCs w:val="22"/>
        </w:rPr>
        <w:t xml:space="preserve">, </w:t>
      </w:r>
      <w:r w:rsidR="00B216D0" w:rsidRPr="00CE1271">
        <w:rPr>
          <w:i/>
          <w:iCs/>
          <w:sz w:val="22"/>
          <w:szCs w:val="22"/>
        </w:rPr>
        <w:t>134</w:t>
      </w:r>
      <w:r w:rsidR="00B216D0" w:rsidRPr="00CE1271">
        <w:rPr>
          <w:sz w:val="22"/>
          <w:szCs w:val="22"/>
        </w:rPr>
        <w:t xml:space="preserve">(823), 137–154. https://doi.org/10.1098/rspa.1931.0187 </w:t>
      </w:r>
    </w:p>
    <w:p w14:paraId="1CBC46C2" w14:textId="4592C610" w:rsidR="00C51260" w:rsidRPr="00CE1271" w:rsidRDefault="00C51260" w:rsidP="00CC0D33">
      <w:pPr>
        <w:spacing w:line="480" w:lineRule="auto"/>
        <w:jc w:val="both"/>
        <w:rPr>
          <w:sz w:val="22"/>
          <w:szCs w:val="22"/>
        </w:rPr>
      </w:pPr>
      <w:r w:rsidRPr="00CE1271">
        <w:rPr>
          <w:sz w:val="22"/>
          <w:szCs w:val="22"/>
        </w:rPr>
        <w:t>(20)</w:t>
      </w:r>
      <w:r w:rsidR="00B216D0" w:rsidRPr="00CE1271">
        <w:rPr>
          <w:sz w:val="22"/>
          <w:szCs w:val="22"/>
        </w:rPr>
        <w:t xml:space="preserve"> Sakaushi, K. (2020). Quantum Proton tunneling in multi-electron/-proton transfer electrode processes.</w:t>
      </w:r>
      <w:r w:rsidR="008962E8" w:rsidRPr="00CE1271">
        <w:t xml:space="preserve"> </w:t>
      </w:r>
      <w:r w:rsidR="008962E8" w:rsidRPr="00CE1271">
        <w:rPr>
          <w:i/>
          <w:iCs/>
          <w:sz w:val="22"/>
          <w:szCs w:val="22"/>
        </w:rPr>
        <w:t>Faraday Discuss.</w:t>
      </w:r>
      <w:r w:rsidR="00B216D0" w:rsidRPr="00CE1271">
        <w:rPr>
          <w:sz w:val="22"/>
          <w:szCs w:val="22"/>
        </w:rPr>
        <w:t xml:space="preserve">, </w:t>
      </w:r>
      <w:r w:rsidR="00B216D0" w:rsidRPr="00CE1271">
        <w:rPr>
          <w:i/>
          <w:iCs/>
          <w:sz w:val="22"/>
          <w:szCs w:val="22"/>
        </w:rPr>
        <w:t>221</w:t>
      </w:r>
      <w:r w:rsidR="00B216D0" w:rsidRPr="00CE1271">
        <w:rPr>
          <w:sz w:val="22"/>
          <w:szCs w:val="22"/>
        </w:rPr>
        <w:t xml:space="preserve">, 428–448. https://doi.org/10.1039/c9fd00032a </w:t>
      </w:r>
    </w:p>
    <w:p w14:paraId="4B053287" w14:textId="2AC51DB2" w:rsidR="00C51260" w:rsidRPr="00CE1271" w:rsidRDefault="00C51260" w:rsidP="00CC0D33">
      <w:pPr>
        <w:spacing w:line="480" w:lineRule="auto"/>
        <w:jc w:val="both"/>
        <w:rPr>
          <w:sz w:val="22"/>
          <w:szCs w:val="22"/>
        </w:rPr>
      </w:pPr>
      <w:r w:rsidRPr="00CE1271">
        <w:rPr>
          <w:sz w:val="22"/>
          <w:szCs w:val="22"/>
        </w:rPr>
        <w:t>(21)</w:t>
      </w:r>
      <w:r w:rsidR="00B216D0" w:rsidRPr="00CE1271">
        <w:rPr>
          <w:sz w:val="22"/>
          <w:szCs w:val="22"/>
        </w:rPr>
        <w:t xml:space="preserve"> Sakaushi, K. (2020a). Quantum electrocatalysts: Theoretical picture, electrochemical kinetic isotope effect analysis, and conjecture to understand microscopic mechanisms. </w:t>
      </w:r>
      <w:r w:rsidR="008962E8" w:rsidRPr="00CE1271">
        <w:rPr>
          <w:i/>
          <w:iCs/>
          <w:sz w:val="22"/>
          <w:szCs w:val="22"/>
        </w:rPr>
        <w:t>Phys. Chem. Chem. Phys</w:t>
      </w:r>
      <w:r w:rsidR="008962E8" w:rsidRPr="00CE1271">
        <w:rPr>
          <w:sz w:val="22"/>
          <w:szCs w:val="22"/>
        </w:rPr>
        <w:t>.</w:t>
      </w:r>
      <w:r w:rsidR="00B216D0" w:rsidRPr="00CE1271">
        <w:rPr>
          <w:sz w:val="22"/>
          <w:szCs w:val="22"/>
        </w:rPr>
        <w:t xml:space="preserve">, </w:t>
      </w:r>
      <w:r w:rsidR="00B216D0" w:rsidRPr="00CE1271">
        <w:rPr>
          <w:i/>
          <w:iCs/>
          <w:sz w:val="22"/>
          <w:szCs w:val="22"/>
        </w:rPr>
        <w:t>22</w:t>
      </w:r>
      <w:r w:rsidR="00B216D0" w:rsidRPr="00CE1271">
        <w:rPr>
          <w:sz w:val="22"/>
          <w:szCs w:val="22"/>
        </w:rPr>
        <w:t xml:space="preserve">(20), 11219–11243. https://doi.org/10.1039/d0cp01052a </w:t>
      </w:r>
    </w:p>
    <w:p w14:paraId="717744D6" w14:textId="0F5C9549" w:rsidR="00CC0D33" w:rsidRPr="00CE1271" w:rsidRDefault="00CC0D33" w:rsidP="00CC0D33">
      <w:pPr>
        <w:spacing w:line="480" w:lineRule="auto"/>
        <w:jc w:val="both"/>
        <w:rPr>
          <w:sz w:val="22"/>
          <w:szCs w:val="22"/>
        </w:rPr>
      </w:pPr>
      <w:r w:rsidRPr="00CE1271">
        <w:rPr>
          <w:sz w:val="22"/>
          <w:szCs w:val="22"/>
        </w:rPr>
        <w:t>(</w:t>
      </w:r>
      <w:r w:rsidR="00B216D0" w:rsidRPr="00CE1271">
        <w:rPr>
          <w:sz w:val="22"/>
          <w:szCs w:val="22"/>
        </w:rPr>
        <w:t>22</w:t>
      </w:r>
      <w:r w:rsidRPr="00CE1271">
        <w:rPr>
          <w:sz w:val="22"/>
          <w:szCs w:val="22"/>
        </w:rPr>
        <w:t xml:space="preserve">) </w:t>
      </w:r>
      <w:proofErr w:type="spellStart"/>
      <w:r w:rsidR="00B216D0" w:rsidRPr="00CE1271">
        <w:rPr>
          <w:sz w:val="22"/>
          <w:szCs w:val="22"/>
        </w:rPr>
        <w:t>Ledendecker</w:t>
      </w:r>
      <w:proofErr w:type="spellEnd"/>
      <w:r w:rsidR="00B216D0" w:rsidRPr="00CE1271">
        <w:rPr>
          <w:sz w:val="22"/>
          <w:szCs w:val="22"/>
        </w:rPr>
        <w:t xml:space="preserve">, M., Krick Calderón, S., Papp, C., </w:t>
      </w:r>
      <w:proofErr w:type="spellStart"/>
      <w:r w:rsidR="00B216D0" w:rsidRPr="00CE1271">
        <w:rPr>
          <w:sz w:val="22"/>
          <w:szCs w:val="22"/>
        </w:rPr>
        <w:t>Steinrück</w:t>
      </w:r>
      <w:proofErr w:type="spellEnd"/>
      <w:r w:rsidR="00B216D0" w:rsidRPr="00CE1271">
        <w:rPr>
          <w:sz w:val="22"/>
          <w:szCs w:val="22"/>
        </w:rPr>
        <w:t>, H., Antonietti, M., &amp; Shalom, M. (2015). The synthesis of nanostructured ni5p4 films and their use as a non‐noble bifunctional electrocatalyst for full water splitting.</w:t>
      </w:r>
      <w:r w:rsidR="008962E8" w:rsidRPr="00CE1271">
        <w:t xml:space="preserve"> </w:t>
      </w:r>
      <w:proofErr w:type="spellStart"/>
      <w:r w:rsidR="008962E8" w:rsidRPr="00CE1271">
        <w:rPr>
          <w:i/>
          <w:iCs/>
          <w:sz w:val="22"/>
          <w:szCs w:val="22"/>
        </w:rPr>
        <w:t>Angew</w:t>
      </w:r>
      <w:proofErr w:type="spellEnd"/>
      <w:r w:rsidR="008962E8" w:rsidRPr="00CE1271">
        <w:rPr>
          <w:i/>
          <w:iCs/>
          <w:sz w:val="22"/>
          <w:szCs w:val="22"/>
        </w:rPr>
        <w:t>. Chem., Int. Ed.</w:t>
      </w:r>
      <w:r w:rsidR="00B216D0" w:rsidRPr="00CE1271">
        <w:rPr>
          <w:sz w:val="22"/>
          <w:szCs w:val="22"/>
        </w:rPr>
        <w:t xml:space="preserve">, </w:t>
      </w:r>
      <w:r w:rsidR="00B216D0" w:rsidRPr="00CE1271">
        <w:rPr>
          <w:i/>
          <w:iCs/>
          <w:sz w:val="22"/>
          <w:szCs w:val="22"/>
        </w:rPr>
        <w:t>54</w:t>
      </w:r>
      <w:r w:rsidR="00B216D0" w:rsidRPr="00CE1271">
        <w:rPr>
          <w:sz w:val="22"/>
          <w:szCs w:val="22"/>
        </w:rPr>
        <w:t xml:space="preserve">(42), 12361–12365. https://doi.org/10.1002/anie.201502438 </w:t>
      </w:r>
    </w:p>
    <w:p w14:paraId="21A33BA9" w14:textId="0D399372" w:rsidR="00B216D0" w:rsidRPr="00CE1271" w:rsidRDefault="00B216D0" w:rsidP="00CC0D33">
      <w:pPr>
        <w:spacing w:line="480" w:lineRule="auto"/>
        <w:jc w:val="both"/>
        <w:rPr>
          <w:sz w:val="22"/>
          <w:szCs w:val="22"/>
        </w:rPr>
      </w:pPr>
      <w:r w:rsidRPr="00CE1271">
        <w:rPr>
          <w:sz w:val="22"/>
          <w:szCs w:val="22"/>
        </w:rPr>
        <w:t xml:space="preserve">(23) </w:t>
      </w:r>
      <w:proofErr w:type="spellStart"/>
      <w:r w:rsidRPr="00CE1271">
        <w:rPr>
          <w:sz w:val="22"/>
          <w:szCs w:val="22"/>
        </w:rPr>
        <w:t>Ledendecker</w:t>
      </w:r>
      <w:proofErr w:type="spellEnd"/>
      <w:r w:rsidRPr="00CE1271">
        <w:rPr>
          <w:sz w:val="22"/>
          <w:szCs w:val="22"/>
        </w:rPr>
        <w:t xml:space="preserve">, M., Mondschein, J. S., Kasian, O., Geiger, S., </w:t>
      </w:r>
      <w:proofErr w:type="spellStart"/>
      <w:r w:rsidRPr="00CE1271">
        <w:rPr>
          <w:sz w:val="22"/>
          <w:szCs w:val="22"/>
        </w:rPr>
        <w:t>Göhl</w:t>
      </w:r>
      <w:proofErr w:type="spellEnd"/>
      <w:r w:rsidRPr="00CE1271">
        <w:rPr>
          <w:sz w:val="22"/>
          <w:szCs w:val="22"/>
        </w:rPr>
        <w:t xml:space="preserve">, D., </w:t>
      </w:r>
      <w:proofErr w:type="spellStart"/>
      <w:r w:rsidRPr="00CE1271">
        <w:rPr>
          <w:sz w:val="22"/>
          <w:szCs w:val="22"/>
        </w:rPr>
        <w:t>Schalenbach</w:t>
      </w:r>
      <w:proofErr w:type="spellEnd"/>
      <w:r w:rsidRPr="00CE1271">
        <w:rPr>
          <w:sz w:val="22"/>
          <w:szCs w:val="22"/>
        </w:rPr>
        <w:t xml:space="preserve">, M., </w:t>
      </w:r>
      <w:proofErr w:type="spellStart"/>
      <w:r w:rsidRPr="00CE1271">
        <w:rPr>
          <w:sz w:val="22"/>
          <w:szCs w:val="22"/>
        </w:rPr>
        <w:t>Zeradjanin</w:t>
      </w:r>
      <w:proofErr w:type="spellEnd"/>
      <w:r w:rsidRPr="00CE1271">
        <w:rPr>
          <w:sz w:val="22"/>
          <w:szCs w:val="22"/>
        </w:rPr>
        <w:t xml:space="preserve">, A., </w:t>
      </w:r>
      <w:proofErr w:type="spellStart"/>
      <w:r w:rsidRPr="00CE1271">
        <w:rPr>
          <w:sz w:val="22"/>
          <w:szCs w:val="22"/>
        </w:rPr>
        <w:t>Cherevko</w:t>
      </w:r>
      <w:proofErr w:type="spellEnd"/>
      <w:r w:rsidRPr="00CE1271">
        <w:rPr>
          <w:sz w:val="22"/>
          <w:szCs w:val="22"/>
        </w:rPr>
        <w:t>, S., Schaak, R. E., &amp; Mayrhofer, K. (2017). Stability and activity of non‐</w:t>
      </w:r>
      <w:r w:rsidRPr="00CE1271">
        <w:rPr>
          <w:sz w:val="22"/>
          <w:szCs w:val="22"/>
        </w:rPr>
        <w:lastRenderedPageBreak/>
        <w:t xml:space="preserve">noble‐metal‐based catalysts toward the hydrogen evolution reaction. </w:t>
      </w:r>
      <w:proofErr w:type="spellStart"/>
      <w:r w:rsidR="008962E8" w:rsidRPr="00CE1271">
        <w:rPr>
          <w:i/>
          <w:iCs/>
          <w:sz w:val="22"/>
          <w:szCs w:val="22"/>
        </w:rPr>
        <w:t>Angew</w:t>
      </w:r>
      <w:proofErr w:type="spellEnd"/>
      <w:r w:rsidR="008962E8" w:rsidRPr="00CE1271">
        <w:rPr>
          <w:i/>
          <w:iCs/>
          <w:sz w:val="22"/>
          <w:szCs w:val="22"/>
        </w:rPr>
        <w:t>. Chem., Int. Ed.,</w:t>
      </w:r>
      <w:r w:rsidR="008962E8" w:rsidRPr="00CE1271">
        <w:rPr>
          <w:sz w:val="22"/>
          <w:szCs w:val="22"/>
        </w:rPr>
        <w:t xml:space="preserve"> </w:t>
      </w:r>
      <w:r w:rsidRPr="00CE1271">
        <w:rPr>
          <w:i/>
          <w:iCs/>
          <w:sz w:val="22"/>
          <w:szCs w:val="22"/>
        </w:rPr>
        <w:t>56</w:t>
      </w:r>
      <w:r w:rsidRPr="00CE1271">
        <w:rPr>
          <w:sz w:val="22"/>
          <w:szCs w:val="22"/>
        </w:rPr>
        <w:t xml:space="preserve">(33), 9767–9771. https://doi.org/10.1002/anie.201704021 </w:t>
      </w:r>
    </w:p>
    <w:p w14:paraId="6CEBEA6E" w14:textId="74DA31AF" w:rsidR="00865D1D" w:rsidRPr="00CE1271" w:rsidRDefault="00CC0D33" w:rsidP="000F1A8F">
      <w:pPr>
        <w:spacing w:line="480" w:lineRule="auto"/>
        <w:jc w:val="both"/>
        <w:rPr>
          <w:sz w:val="22"/>
          <w:szCs w:val="22"/>
        </w:rPr>
      </w:pPr>
      <w:r w:rsidRPr="00CE1271">
        <w:rPr>
          <w:sz w:val="22"/>
          <w:szCs w:val="22"/>
        </w:rPr>
        <w:t>(</w:t>
      </w:r>
      <w:r w:rsidR="00DD753B" w:rsidRPr="00CE1271">
        <w:rPr>
          <w:sz w:val="22"/>
          <w:szCs w:val="22"/>
        </w:rPr>
        <w:t>24</w:t>
      </w:r>
      <w:r w:rsidRPr="00CE1271">
        <w:rPr>
          <w:sz w:val="22"/>
          <w:szCs w:val="22"/>
        </w:rPr>
        <w:t xml:space="preserve">) Clapp, M., </w:t>
      </w:r>
      <w:proofErr w:type="spellStart"/>
      <w:r w:rsidRPr="00CE1271">
        <w:rPr>
          <w:sz w:val="22"/>
          <w:szCs w:val="22"/>
        </w:rPr>
        <w:t>Zalitis</w:t>
      </w:r>
      <w:proofErr w:type="spellEnd"/>
      <w:r w:rsidRPr="00CE1271">
        <w:rPr>
          <w:sz w:val="22"/>
          <w:szCs w:val="22"/>
        </w:rPr>
        <w:t xml:space="preserve">, C. M., &amp; Ryan, M. (2023). Perspectives on current and future iridium demand and iridium oxide catalysts for PEM water electrolysis. </w:t>
      </w:r>
      <w:proofErr w:type="spellStart"/>
      <w:r w:rsidR="00E22581" w:rsidRPr="00CE1271">
        <w:rPr>
          <w:i/>
          <w:iCs/>
          <w:sz w:val="22"/>
          <w:szCs w:val="22"/>
        </w:rPr>
        <w:t>Catal</w:t>
      </w:r>
      <w:proofErr w:type="spellEnd"/>
      <w:r w:rsidR="00E22581" w:rsidRPr="00CE1271">
        <w:rPr>
          <w:i/>
          <w:iCs/>
          <w:sz w:val="22"/>
          <w:szCs w:val="22"/>
        </w:rPr>
        <w:t>. Today</w:t>
      </w:r>
      <w:r w:rsidRPr="00CE1271">
        <w:rPr>
          <w:i/>
          <w:iCs/>
          <w:sz w:val="22"/>
          <w:szCs w:val="22"/>
        </w:rPr>
        <w:t>,</w:t>
      </w:r>
      <w:r w:rsidRPr="00CE1271">
        <w:rPr>
          <w:sz w:val="22"/>
          <w:szCs w:val="22"/>
        </w:rPr>
        <w:t xml:space="preserve"> </w:t>
      </w:r>
      <w:r w:rsidRPr="00CE1271">
        <w:rPr>
          <w:i/>
          <w:iCs/>
          <w:sz w:val="22"/>
          <w:szCs w:val="22"/>
        </w:rPr>
        <w:t>420</w:t>
      </w:r>
      <w:r w:rsidRPr="00CE1271">
        <w:rPr>
          <w:sz w:val="22"/>
          <w:szCs w:val="22"/>
        </w:rPr>
        <w:t xml:space="preserve">, 114140. https://doi.org/10.1016/j.cattod.2023.114140 </w:t>
      </w:r>
    </w:p>
    <w:p w14:paraId="477DA1A5" w14:textId="71B10C65" w:rsidR="00751FCE" w:rsidRPr="00CE1271" w:rsidRDefault="006B08DC" w:rsidP="000F1A8F">
      <w:pPr>
        <w:spacing w:line="480" w:lineRule="auto"/>
        <w:jc w:val="both"/>
        <w:rPr>
          <w:sz w:val="22"/>
          <w:szCs w:val="22"/>
        </w:rPr>
      </w:pPr>
      <w:r w:rsidRPr="00CE1271">
        <w:rPr>
          <w:sz w:val="22"/>
          <w:szCs w:val="22"/>
        </w:rPr>
        <w:t>(</w:t>
      </w:r>
      <w:r w:rsidR="00DD753B" w:rsidRPr="00CE1271">
        <w:rPr>
          <w:sz w:val="22"/>
          <w:szCs w:val="22"/>
        </w:rPr>
        <w:t>25</w:t>
      </w:r>
      <w:r w:rsidRPr="00CE1271">
        <w:rPr>
          <w:sz w:val="22"/>
          <w:szCs w:val="22"/>
        </w:rPr>
        <w:t xml:space="preserve">) </w:t>
      </w:r>
      <w:r w:rsidR="00DD753B" w:rsidRPr="00CE1271">
        <w:rPr>
          <w:sz w:val="22"/>
          <w:szCs w:val="22"/>
        </w:rPr>
        <w:t xml:space="preserve">Smith, G., &amp; Dickinson, E. J. (2022). Error, reproducibility and uncertainty in experiments for Electrochemical Energy Technologies. </w:t>
      </w:r>
      <w:r w:rsidR="00E22581" w:rsidRPr="00CE1271">
        <w:rPr>
          <w:i/>
          <w:iCs/>
          <w:sz w:val="22"/>
          <w:szCs w:val="22"/>
        </w:rPr>
        <w:t>Nat. Commun</w:t>
      </w:r>
      <w:proofErr w:type="gramStart"/>
      <w:r w:rsidR="00E22581" w:rsidRPr="00CE1271">
        <w:rPr>
          <w:i/>
          <w:iCs/>
          <w:sz w:val="22"/>
          <w:szCs w:val="22"/>
        </w:rPr>
        <w:t>.</w:t>
      </w:r>
      <w:r w:rsidR="00E22581" w:rsidRPr="00CE1271" w:rsidDel="00E22581">
        <w:rPr>
          <w:sz w:val="22"/>
          <w:szCs w:val="22"/>
        </w:rPr>
        <w:t xml:space="preserve"> </w:t>
      </w:r>
      <w:r w:rsidR="00DD753B" w:rsidRPr="00CE1271">
        <w:rPr>
          <w:sz w:val="22"/>
          <w:szCs w:val="22"/>
        </w:rPr>
        <w:t>,</w:t>
      </w:r>
      <w:proofErr w:type="gramEnd"/>
      <w:r w:rsidR="00DD753B" w:rsidRPr="00CE1271">
        <w:rPr>
          <w:sz w:val="22"/>
          <w:szCs w:val="22"/>
        </w:rPr>
        <w:t xml:space="preserve"> </w:t>
      </w:r>
      <w:r w:rsidR="00DD753B" w:rsidRPr="00CE1271">
        <w:rPr>
          <w:i/>
          <w:iCs/>
          <w:sz w:val="22"/>
          <w:szCs w:val="22"/>
        </w:rPr>
        <w:t>13</w:t>
      </w:r>
      <w:r w:rsidR="00DD753B" w:rsidRPr="00CE1271">
        <w:rPr>
          <w:sz w:val="22"/>
          <w:szCs w:val="22"/>
        </w:rPr>
        <w:t xml:space="preserve">(1). https://doi.org/10.1038/s41467-022-34594-x </w:t>
      </w:r>
    </w:p>
    <w:p w14:paraId="3EBEB786" w14:textId="33FD3699" w:rsidR="006B08DC" w:rsidRPr="00CE1271" w:rsidRDefault="006B08DC" w:rsidP="000F1A8F">
      <w:pPr>
        <w:spacing w:line="480" w:lineRule="auto"/>
        <w:jc w:val="both"/>
        <w:rPr>
          <w:sz w:val="22"/>
          <w:szCs w:val="22"/>
        </w:rPr>
      </w:pPr>
      <w:r w:rsidRPr="00CE1271">
        <w:rPr>
          <w:sz w:val="22"/>
          <w:szCs w:val="22"/>
        </w:rPr>
        <w:t>(</w:t>
      </w:r>
      <w:r w:rsidR="00DD753B" w:rsidRPr="00CE1271">
        <w:rPr>
          <w:sz w:val="22"/>
          <w:szCs w:val="22"/>
        </w:rPr>
        <w:t>26</w:t>
      </w:r>
      <w:r w:rsidRPr="00CE1271">
        <w:rPr>
          <w:sz w:val="22"/>
          <w:szCs w:val="22"/>
        </w:rPr>
        <w:t xml:space="preserve">) Bandarenka, A. S., Ventosa, E., </w:t>
      </w:r>
      <w:proofErr w:type="spellStart"/>
      <w:r w:rsidRPr="00CE1271">
        <w:rPr>
          <w:sz w:val="22"/>
          <w:szCs w:val="22"/>
        </w:rPr>
        <w:t>Maljusch</w:t>
      </w:r>
      <w:proofErr w:type="spellEnd"/>
      <w:r w:rsidRPr="00CE1271">
        <w:rPr>
          <w:sz w:val="22"/>
          <w:szCs w:val="22"/>
        </w:rPr>
        <w:t xml:space="preserve">, A., Masa, J., &amp; Schuhmann, W. (2014). Techniques and methodologies in modern electrocatalysis: Evaluation of activity, selectivity and stability of catalytic materials. </w:t>
      </w:r>
      <w:r w:rsidRPr="00CE1271">
        <w:rPr>
          <w:i/>
          <w:iCs/>
          <w:sz w:val="22"/>
          <w:szCs w:val="22"/>
        </w:rPr>
        <w:t>The Analyst</w:t>
      </w:r>
      <w:r w:rsidRPr="00CE1271">
        <w:rPr>
          <w:sz w:val="22"/>
          <w:szCs w:val="22"/>
        </w:rPr>
        <w:t xml:space="preserve">, </w:t>
      </w:r>
      <w:r w:rsidRPr="00CE1271">
        <w:rPr>
          <w:i/>
          <w:iCs/>
          <w:sz w:val="22"/>
          <w:szCs w:val="22"/>
        </w:rPr>
        <w:t>139</w:t>
      </w:r>
      <w:r w:rsidRPr="00CE1271">
        <w:rPr>
          <w:sz w:val="22"/>
          <w:szCs w:val="22"/>
        </w:rPr>
        <w:t xml:space="preserve">(6), 1274. https://doi.org/10.1039/c3an01647a </w:t>
      </w:r>
    </w:p>
    <w:p w14:paraId="10D7F594" w14:textId="5FEDE7C9" w:rsidR="00DD753B" w:rsidRPr="00CE1271" w:rsidRDefault="00DD753B" w:rsidP="000F1A8F">
      <w:pPr>
        <w:spacing w:line="480" w:lineRule="auto"/>
        <w:jc w:val="both"/>
        <w:rPr>
          <w:sz w:val="22"/>
          <w:szCs w:val="22"/>
        </w:rPr>
      </w:pPr>
      <w:r w:rsidRPr="00CE1271">
        <w:rPr>
          <w:sz w:val="22"/>
          <w:szCs w:val="22"/>
        </w:rPr>
        <w:t>(27) Kita, H. (1966). Periodic variation of exchange current density of hydrogen electrode reaction with atomic number and reaction mechanism.</w:t>
      </w:r>
      <w:r w:rsidR="00E22581" w:rsidRPr="00CE1271">
        <w:t xml:space="preserve"> </w:t>
      </w:r>
      <w:r w:rsidR="00E22581" w:rsidRPr="00CE1271">
        <w:rPr>
          <w:i/>
          <w:iCs/>
          <w:sz w:val="22"/>
          <w:szCs w:val="22"/>
        </w:rPr>
        <w:t xml:space="preserve">J. </w:t>
      </w:r>
      <w:proofErr w:type="spellStart"/>
      <w:r w:rsidR="00E22581" w:rsidRPr="00CE1271">
        <w:rPr>
          <w:i/>
          <w:iCs/>
          <w:sz w:val="22"/>
          <w:szCs w:val="22"/>
        </w:rPr>
        <w:t>Electrochem</w:t>
      </w:r>
      <w:proofErr w:type="spellEnd"/>
      <w:r w:rsidR="00E22581" w:rsidRPr="00CE1271">
        <w:rPr>
          <w:i/>
          <w:iCs/>
          <w:sz w:val="22"/>
          <w:szCs w:val="22"/>
        </w:rPr>
        <w:t>. Soc.</w:t>
      </w:r>
      <w:r w:rsidRPr="00CE1271">
        <w:rPr>
          <w:i/>
          <w:iCs/>
          <w:sz w:val="22"/>
          <w:szCs w:val="22"/>
        </w:rPr>
        <w:t>,</w:t>
      </w:r>
      <w:r w:rsidRPr="00CE1271">
        <w:rPr>
          <w:sz w:val="22"/>
          <w:szCs w:val="22"/>
        </w:rPr>
        <w:t xml:space="preserve"> </w:t>
      </w:r>
      <w:r w:rsidRPr="00CE1271">
        <w:rPr>
          <w:i/>
          <w:iCs/>
          <w:sz w:val="22"/>
          <w:szCs w:val="22"/>
        </w:rPr>
        <w:t>113</w:t>
      </w:r>
      <w:r w:rsidRPr="00CE1271">
        <w:rPr>
          <w:sz w:val="22"/>
          <w:szCs w:val="22"/>
        </w:rPr>
        <w:t xml:space="preserve">(11), 1095. https://doi.org/10.1149/1.2423772 </w:t>
      </w:r>
    </w:p>
    <w:p w14:paraId="2BC655B5" w14:textId="44E1E8F4" w:rsidR="00FD7FF1" w:rsidRPr="00CE1271" w:rsidRDefault="00FD7FF1" w:rsidP="000F1A8F">
      <w:pPr>
        <w:spacing w:line="480" w:lineRule="auto"/>
        <w:jc w:val="both"/>
        <w:rPr>
          <w:sz w:val="22"/>
          <w:szCs w:val="22"/>
        </w:rPr>
      </w:pPr>
      <w:r w:rsidRPr="00CE1271">
        <w:rPr>
          <w:sz w:val="22"/>
          <w:szCs w:val="22"/>
        </w:rPr>
        <w:t>(</w:t>
      </w:r>
      <w:r w:rsidR="00DD753B" w:rsidRPr="00CE1271">
        <w:rPr>
          <w:sz w:val="22"/>
          <w:szCs w:val="22"/>
        </w:rPr>
        <w:t>28</w:t>
      </w:r>
      <w:r w:rsidRPr="00CE1271">
        <w:rPr>
          <w:sz w:val="22"/>
          <w:szCs w:val="22"/>
        </w:rPr>
        <w:t>) Trasatti, S. (19</w:t>
      </w:r>
      <w:r w:rsidR="00B83CB3" w:rsidRPr="00CE1271">
        <w:rPr>
          <w:rFonts w:hint="eastAsia"/>
          <w:sz w:val="22"/>
          <w:szCs w:val="22"/>
        </w:rPr>
        <w:t>72</w:t>
      </w:r>
      <w:r w:rsidRPr="00CE1271">
        <w:rPr>
          <w:sz w:val="22"/>
          <w:szCs w:val="22"/>
        </w:rPr>
        <w:t xml:space="preserve">). </w:t>
      </w:r>
      <w:r w:rsidR="009D7BBC" w:rsidRPr="00CE1271">
        <w:rPr>
          <w:sz w:val="22"/>
          <w:szCs w:val="22"/>
        </w:rPr>
        <w:t xml:space="preserve">Work function, electronegativity, and electrochemical </w:t>
      </w:r>
      <w:proofErr w:type="spellStart"/>
      <w:r w:rsidR="009D7BBC" w:rsidRPr="00CE1271">
        <w:rPr>
          <w:sz w:val="22"/>
          <w:szCs w:val="22"/>
        </w:rPr>
        <w:t>behaviour</w:t>
      </w:r>
      <w:proofErr w:type="spellEnd"/>
      <w:r w:rsidR="009D7BBC" w:rsidRPr="00CE1271">
        <w:rPr>
          <w:sz w:val="22"/>
          <w:szCs w:val="22"/>
        </w:rPr>
        <w:t xml:space="preserve"> of metals: III. Electrolytic hydrogen evolution in acid solutions</w:t>
      </w:r>
      <w:r w:rsidRPr="00CE1271">
        <w:rPr>
          <w:sz w:val="22"/>
          <w:szCs w:val="22"/>
        </w:rPr>
        <w:t>.</w:t>
      </w:r>
      <w:r w:rsidR="00E22581" w:rsidRPr="00CE1271">
        <w:rPr>
          <w:sz w:val="22"/>
          <w:szCs w:val="22"/>
        </w:rPr>
        <w:t xml:space="preserve"> </w:t>
      </w:r>
      <w:r w:rsidR="009D7BBC" w:rsidRPr="00CE1271">
        <w:rPr>
          <w:rFonts w:hint="eastAsia"/>
          <w:i/>
          <w:iCs/>
          <w:sz w:val="22"/>
          <w:szCs w:val="22"/>
        </w:rPr>
        <w:t xml:space="preserve">J. </w:t>
      </w:r>
      <w:proofErr w:type="spellStart"/>
      <w:r w:rsidR="009D7BBC" w:rsidRPr="00CE1271">
        <w:rPr>
          <w:rFonts w:hint="eastAsia"/>
          <w:i/>
          <w:iCs/>
          <w:sz w:val="22"/>
          <w:szCs w:val="22"/>
        </w:rPr>
        <w:t>Electroanal</w:t>
      </w:r>
      <w:proofErr w:type="spellEnd"/>
      <w:r w:rsidR="009D7BBC" w:rsidRPr="00CE1271">
        <w:rPr>
          <w:rFonts w:hint="eastAsia"/>
          <w:i/>
          <w:iCs/>
          <w:sz w:val="22"/>
          <w:szCs w:val="22"/>
        </w:rPr>
        <w:t>. Chem.</w:t>
      </w:r>
      <w:r w:rsidRPr="00CE1271">
        <w:rPr>
          <w:sz w:val="22"/>
          <w:szCs w:val="22"/>
        </w:rPr>
        <w:t xml:space="preserve">, </w:t>
      </w:r>
      <w:r w:rsidRPr="00CE1271">
        <w:rPr>
          <w:i/>
          <w:iCs/>
          <w:sz w:val="22"/>
          <w:szCs w:val="22"/>
        </w:rPr>
        <w:t>3</w:t>
      </w:r>
      <w:r w:rsidR="00EB67F6" w:rsidRPr="00CE1271">
        <w:rPr>
          <w:rFonts w:hint="eastAsia"/>
          <w:i/>
          <w:iCs/>
          <w:sz w:val="22"/>
          <w:szCs w:val="22"/>
        </w:rPr>
        <w:t>9</w:t>
      </w:r>
      <w:r w:rsidRPr="00CE1271">
        <w:rPr>
          <w:sz w:val="22"/>
          <w:szCs w:val="22"/>
        </w:rPr>
        <w:t xml:space="preserve">(1), </w:t>
      </w:r>
      <w:r w:rsidR="00EB67F6" w:rsidRPr="00CE1271">
        <w:rPr>
          <w:rFonts w:hint="eastAsia"/>
          <w:sz w:val="22"/>
          <w:szCs w:val="22"/>
        </w:rPr>
        <w:t>1</w:t>
      </w:r>
      <w:r w:rsidRPr="00CE1271">
        <w:rPr>
          <w:sz w:val="22"/>
          <w:szCs w:val="22"/>
        </w:rPr>
        <w:t>63–</w:t>
      </w:r>
      <w:r w:rsidR="00EB67F6" w:rsidRPr="00CE1271">
        <w:rPr>
          <w:rFonts w:hint="eastAsia"/>
          <w:sz w:val="22"/>
          <w:szCs w:val="22"/>
        </w:rPr>
        <w:t>184</w:t>
      </w:r>
      <w:r w:rsidRPr="00CE1271">
        <w:rPr>
          <w:sz w:val="22"/>
          <w:szCs w:val="22"/>
        </w:rPr>
        <w:t xml:space="preserve">. </w:t>
      </w:r>
      <w:r w:rsidR="00C77FDE" w:rsidRPr="00CE1271">
        <w:rPr>
          <w:sz w:val="22"/>
          <w:szCs w:val="22"/>
        </w:rPr>
        <w:t>https://doi.org/10.1016/S0022-0728(72)80485-6</w:t>
      </w:r>
      <w:r w:rsidRPr="00CE1271">
        <w:rPr>
          <w:sz w:val="22"/>
          <w:szCs w:val="22"/>
        </w:rPr>
        <w:t xml:space="preserve"> </w:t>
      </w:r>
    </w:p>
    <w:p w14:paraId="50C39384" w14:textId="07FEF82A" w:rsidR="009B0C81" w:rsidRPr="00CE1271" w:rsidRDefault="006B08DC" w:rsidP="009B0C81">
      <w:pPr>
        <w:spacing w:line="480" w:lineRule="auto"/>
        <w:jc w:val="both"/>
        <w:rPr>
          <w:sz w:val="22"/>
          <w:szCs w:val="22"/>
        </w:rPr>
      </w:pPr>
      <w:r w:rsidRPr="00CE1271">
        <w:rPr>
          <w:sz w:val="22"/>
          <w:szCs w:val="22"/>
        </w:rPr>
        <w:t>(</w:t>
      </w:r>
      <w:r w:rsidR="00DD753B" w:rsidRPr="00CE1271">
        <w:rPr>
          <w:sz w:val="22"/>
          <w:szCs w:val="22"/>
        </w:rPr>
        <w:t>29</w:t>
      </w:r>
      <w:r w:rsidRPr="00CE1271">
        <w:rPr>
          <w:sz w:val="22"/>
          <w:szCs w:val="22"/>
        </w:rPr>
        <w:t xml:space="preserve">) </w:t>
      </w:r>
      <w:proofErr w:type="spellStart"/>
      <w:r w:rsidR="009B0C81" w:rsidRPr="00CE1271">
        <w:rPr>
          <w:sz w:val="22"/>
          <w:szCs w:val="22"/>
        </w:rPr>
        <w:t>Barnartt</w:t>
      </w:r>
      <w:proofErr w:type="spellEnd"/>
      <w:r w:rsidR="009B0C81" w:rsidRPr="00CE1271">
        <w:rPr>
          <w:sz w:val="22"/>
          <w:szCs w:val="22"/>
        </w:rPr>
        <w:t xml:space="preserve">, S. (1961). Magnitude of IR-drop corrections in electrode polarization measurements made with a </w:t>
      </w:r>
      <w:proofErr w:type="spellStart"/>
      <w:r w:rsidR="00FB6865" w:rsidRPr="00CE1271">
        <w:rPr>
          <w:sz w:val="22"/>
          <w:szCs w:val="22"/>
        </w:rPr>
        <w:t>L</w:t>
      </w:r>
      <w:r w:rsidR="009B0C81" w:rsidRPr="00CE1271">
        <w:rPr>
          <w:sz w:val="22"/>
          <w:szCs w:val="22"/>
        </w:rPr>
        <w:t>uggin</w:t>
      </w:r>
      <w:proofErr w:type="spellEnd"/>
      <w:r w:rsidR="009B0C81" w:rsidRPr="00CE1271">
        <w:rPr>
          <w:sz w:val="22"/>
          <w:szCs w:val="22"/>
        </w:rPr>
        <w:t>-</w:t>
      </w:r>
      <w:r w:rsidR="00FB6865" w:rsidRPr="00CE1271">
        <w:rPr>
          <w:sz w:val="22"/>
          <w:szCs w:val="22"/>
        </w:rPr>
        <w:t>H</w:t>
      </w:r>
      <w:r w:rsidR="009B0C81" w:rsidRPr="00CE1271">
        <w:rPr>
          <w:sz w:val="22"/>
          <w:szCs w:val="22"/>
        </w:rPr>
        <w:t xml:space="preserve">aber capillary. </w:t>
      </w:r>
      <w:r w:rsidR="00E22581" w:rsidRPr="00CE1271">
        <w:rPr>
          <w:i/>
          <w:iCs/>
          <w:sz w:val="22"/>
          <w:szCs w:val="22"/>
        </w:rPr>
        <w:t xml:space="preserve">J. </w:t>
      </w:r>
      <w:proofErr w:type="spellStart"/>
      <w:r w:rsidR="00E22581" w:rsidRPr="00CE1271">
        <w:rPr>
          <w:i/>
          <w:iCs/>
          <w:sz w:val="22"/>
          <w:szCs w:val="22"/>
        </w:rPr>
        <w:t>Electrochem</w:t>
      </w:r>
      <w:proofErr w:type="spellEnd"/>
      <w:r w:rsidR="00E22581" w:rsidRPr="00CE1271">
        <w:rPr>
          <w:i/>
          <w:iCs/>
          <w:sz w:val="22"/>
          <w:szCs w:val="22"/>
        </w:rPr>
        <w:t>. Soc.</w:t>
      </w:r>
      <w:r w:rsidR="009B0C81" w:rsidRPr="00CE1271">
        <w:rPr>
          <w:i/>
          <w:iCs/>
          <w:sz w:val="22"/>
          <w:szCs w:val="22"/>
        </w:rPr>
        <w:t>,</w:t>
      </w:r>
      <w:r w:rsidR="009B0C81" w:rsidRPr="00CE1271">
        <w:rPr>
          <w:sz w:val="22"/>
          <w:szCs w:val="22"/>
        </w:rPr>
        <w:t xml:space="preserve"> </w:t>
      </w:r>
      <w:r w:rsidR="009B0C81" w:rsidRPr="00CE1271">
        <w:rPr>
          <w:i/>
          <w:iCs/>
          <w:sz w:val="22"/>
          <w:szCs w:val="22"/>
        </w:rPr>
        <w:t>108</w:t>
      </w:r>
      <w:r w:rsidR="009B0C81" w:rsidRPr="00CE1271">
        <w:rPr>
          <w:sz w:val="22"/>
          <w:szCs w:val="22"/>
        </w:rPr>
        <w:t xml:space="preserve">(1), 102. https://doi.org/10.1149/1.2427994 </w:t>
      </w:r>
    </w:p>
    <w:p w14:paraId="717519CF" w14:textId="4D34912D" w:rsidR="006B08DC" w:rsidRPr="00CE1271" w:rsidRDefault="006B08DC" w:rsidP="000F1A8F">
      <w:pPr>
        <w:spacing w:line="480" w:lineRule="auto"/>
        <w:jc w:val="both"/>
        <w:rPr>
          <w:sz w:val="22"/>
          <w:szCs w:val="22"/>
        </w:rPr>
      </w:pPr>
      <w:r w:rsidRPr="00CE1271">
        <w:rPr>
          <w:sz w:val="22"/>
          <w:szCs w:val="22"/>
        </w:rPr>
        <w:t>(</w:t>
      </w:r>
      <w:r w:rsidR="00DD753B" w:rsidRPr="00CE1271">
        <w:rPr>
          <w:sz w:val="22"/>
          <w:szCs w:val="22"/>
        </w:rPr>
        <w:t>30</w:t>
      </w:r>
      <w:r w:rsidRPr="00CE1271">
        <w:rPr>
          <w:sz w:val="22"/>
          <w:szCs w:val="22"/>
        </w:rPr>
        <w:t xml:space="preserve">) Geiger, S., Kasian, O., </w:t>
      </w:r>
      <w:proofErr w:type="spellStart"/>
      <w:r w:rsidRPr="00CE1271">
        <w:rPr>
          <w:sz w:val="22"/>
          <w:szCs w:val="22"/>
        </w:rPr>
        <w:t>Ledendecker</w:t>
      </w:r>
      <w:proofErr w:type="spellEnd"/>
      <w:r w:rsidRPr="00CE1271">
        <w:rPr>
          <w:sz w:val="22"/>
          <w:szCs w:val="22"/>
        </w:rPr>
        <w:t xml:space="preserve">, M., </w:t>
      </w:r>
      <w:proofErr w:type="spellStart"/>
      <w:r w:rsidRPr="00CE1271">
        <w:rPr>
          <w:sz w:val="22"/>
          <w:szCs w:val="22"/>
        </w:rPr>
        <w:t>Pizzutilo</w:t>
      </w:r>
      <w:proofErr w:type="spellEnd"/>
      <w:r w:rsidRPr="00CE1271">
        <w:rPr>
          <w:sz w:val="22"/>
          <w:szCs w:val="22"/>
        </w:rPr>
        <w:t xml:space="preserve">, E., </w:t>
      </w:r>
      <w:proofErr w:type="spellStart"/>
      <w:r w:rsidRPr="00CE1271">
        <w:rPr>
          <w:sz w:val="22"/>
          <w:szCs w:val="22"/>
        </w:rPr>
        <w:t>Mingers</w:t>
      </w:r>
      <w:proofErr w:type="spellEnd"/>
      <w:r w:rsidRPr="00CE1271">
        <w:rPr>
          <w:sz w:val="22"/>
          <w:szCs w:val="22"/>
        </w:rPr>
        <w:t xml:space="preserve">, A. M., Fu, W. T., Diaz-Morales, O., Li, Z., </w:t>
      </w:r>
      <w:proofErr w:type="spellStart"/>
      <w:r w:rsidRPr="00CE1271">
        <w:rPr>
          <w:sz w:val="22"/>
          <w:szCs w:val="22"/>
        </w:rPr>
        <w:t>Oellers</w:t>
      </w:r>
      <w:proofErr w:type="spellEnd"/>
      <w:r w:rsidRPr="00CE1271">
        <w:rPr>
          <w:sz w:val="22"/>
          <w:szCs w:val="22"/>
        </w:rPr>
        <w:t xml:space="preserve">, T., Fruchter, L., Ludwig, A., Mayrhofer, K. J., Koper, M. T., &amp; </w:t>
      </w:r>
      <w:proofErr w:type="spellStart"/>
      <w:r w:rsidRPr="00CE1271">
        <w:rPr>
          <w:sz w:val="22"/>
          <w:szCs w:val="22"/>
        </w:rPr>
        <w:t>Cherevko</w:t>
      </w:r>
      <w:proofErr w:type="spellEnd"/>
      <w:r w:rsidRPr="00CE1271">
        <w:rPr>
          <w:sz w:val="22"/>
          <w:szCs w:val="22"/>
        </w:rPr>
        <w:t xml:space="preserve">, S. (2018). </w:t>
      </w:r>
      <w:r w:rsidRPr="00CE1271">
        <w:rPr>
          <w:sz w:val="22"/>
          <w:szCs w:val="22"/>
        </w:rPr>
        <w:lastRenderedPageBreak/>
        <w:t xml:space="preserve">The stability number as a metric for electrocatalyst stability benchmarking. </w:t>
      </w:r>
      <w:r w:rsidRPr="00CE1271">
        <w:rPr>
          <w:i/>
          <w:iCs/>
          <w:sz w:val="22"/>
          <w:szCs w:val="22"/>
        </w:rPr>
        <w:t>Nat</w:t>
      </w:r>
      <w:r w:rsidR="00E22581" w:rsidRPr="00CE1271">
        <w:rPr>
          <w:i/>
          <w:iCs/>
          <w:sz w:val="22"/>
          <w:szCs w:val="22"/>
        </w:rPr>
        <w:t>.</w:t>
      </w:r>
      <w:r w:rsidRPr="00CE1271">
        <w:rPr>
          <w:i/>
          <w:iCs/>
          <w:sz w:val="22"/>
          <w:szCs w:val="22"/>
        </w:rPr>
        <w:t xml:space="preserve"> </w:t>
      </w:r>
      <w:proofErr w:type="spellStart"/>
      <w:r w:rsidRPr="00CE1271">
        <w:rPr>
          <w:i/>
          <w:iCs/>
          <w:sz w:val="22"/>
          <w:szCs w:val="22"/>
        </w:rPr>
        <w:t>Cat</w:t>
      </w:r>
      <w:r w:rsidR="00E22581" w:rsidRPr="00CE1271">
        <w:rPr>
          <w:i/>
          <w:iCs/>
          <w:sz w:val="22"/>
          <w:szCs w:val="22"/>
        </w:rPr>
        <w:t>al</w:t>
      </w:r>
      <w:proofErr w:type="spellEnd"/>
      <w:r w:rsidR="00E22581" w:rsidRPr="00CE1271">
        <w:rPr>
          <w:i/>
          <w:iCs/>
          <w:sz w:val="22"/>
          <w:szCs w:val="22"/>
        </w:rPr>
        <w:t>.</w:t>
      </w:r>
      <w:r w:rsidRPr="00CE1271">
        <w:rPr>
          <w:sz w:val="22"/>
          <w:szCs w:val="22"/>
        </w:rPr>
        <w:t xml:space="preserve">, </w:t>
      </w:r>
      <w:r w:rsidRPr="00CE1271">
        <w:rPr>
          <w:i/>
          <w:iCs/>
          <w:sz w:val="22"/>
          <w:szCs w:val="22"/>
        </w:rPr>
        <w:t>1</w:t>
      </w:r>
      <w:r w:rsidRPr="00CE1271">
        <w:rPr>
          <w:sz w:val="22"/>
          <w:szCs w:val="22"/>
        </w:rPr>
        <w:t xml:space="preserve">(7), 508–515. https://doi.org/10.1038/s41929-018-0085-6 </w:t>
      </w:r>
    </w:p>
    <w:p w14:paraId="2E837F80" w14:textId="3CEF8461" w:rsidR="007E5653" w:rsidRPr="00CE1271" w:rsidRDefault="007E5653" w:rsidP="000F1A8F">
      <w:pPr>
        <w:spacing w:line="480" w:lineRule="auto"/>
        <w:jc w:val="both"/>
        <w:rPr>
          <w:sz w:val="22"/>
          <w:szCs w:val="22"/>
        </w:rPr>
      </w:pPr>
      <w:r w:rsidRPr="00CE1271">
        <w:rPr>
          <w:sz w:val="22"/>
          <w:szCs w:val="22"/>
        </w:rPr>
        <w:t xml:space="preserve">(31) Frydendal, R., Paoli, E. A., Knudsen, B. P., Wickman, B., </w:t>
      </w:r>
      <w:proofErr w:type="spellStart"/>
      <w:r w:rsidRPr="00CE1271">
        <w:rPr>
          <w:sz w:val="22"/>
          <w:szCs w:val="22"/>
        </w:rPr>
        <w:t>Malacrida</w:t>
      </w:r>
      <w:proofErr w:type="spellEnd"/>
      <w:r w:rsidRPr="00CE1271">
        <w:rPr>
          <w:sz w:val="22"/>
          <w:szCs w:val="22"/>
        </w:rPr>
        <w:t xml:space="preserve">, P., Stephens, I. E., &amp; Chorkendorff, I. (2014). Benchmarking the stability of oxygen evolution reaction catalysts: The importance of monitoring mass losses. </w:t>
      </w:r>
      <w:proofErr w:type="spellStart"/>
      <w:r w:rsidRPr="00CE1271">
        <w:rPr>
          <w:i/>
          <w:iCs/>
          <w:sz w:val="22"/>
          <w:szCs w:val="22"/>
        </w:rPr>
        <w:t>ChemElectroChem</w:t>
      </w:r>
      <w:proofErr w:type="spellEnd"/>
      <w:r w:rsidRPr="00CE1271">
        <w:rPr>
          <w:sz w:val="22"/>
          <w:szCs w:val="22"/>
        </w:rPr>
        <w:t xml:space="preserve">, </w:t>
      </w:r>
      <w:r w:rsidRPr="00CE1271">
        <w:rPr>
          <w:i/>
          <w:iCs/>
          <w:sz w:val="22"/>
          <w:szCs w:val="22"/>
        </w:rPr>
        <w:t>1</w:t>
      </w:r>
      <w:r w:rsidRPr="00CE1271">
        <w:rPr>
          <w:sz w:val="22"/>
          <w:szCs w:val="22"/>
        </w:rPr>
        <w:t xml:space="preserve">(12), 2075–2081. https://doi.org/10.1002/celc.201402262 </w:t>
      </w:r>
    </w:p>
    <w:p w14:paraId="4A14A59A" w14:textId="668319DF" w:rsidR="007E5653" w:rsidRPr="00CE1271" w:rsidRDefault="007E5653" w:rsidP="000F1A8F">
      <w:pPr>
        <w:spacing w:line="480" w:lineRule="auto"/>
        <w:jc w:val="both"/>
        <w:rPr>
          <w:sz w:val="22"/>
          <w:szCs w:val="22"/>
        </w:rPr>
      </w:pPr>
      <w:r w:rsidRPr="00CE1271">
        <w:rPr>
          <w:sz w:val="22"/>
          <w:szCs w:val="22"/>
        </w:rPr>
        <w:t xml:space="preserve">(32) </w:t>
      </w:r>
      <w:r w:rsidR="00F50B43" w:rsidRPr="00CE1271">
        <w:rPr>
          <w:sz w:val="22"/>
          <w:szCs w:val="22"/>
        </w:rPr>
        <w:t xml:space="preserve">Murawski, J., Scott, S. B., Rao, R., Rigg, K., </w:t>
      </w:r>
      <w:proofErr w:type="spellStart"/>
      <w:r w:rsidR="00F50B43" w:rsidRPr="00CE1271">
        <w:rPr>
          <w:sz w:val="22"/>
          <w:szCs w:val="22"/>
        </w:rPr>
        <w:t>Zalitis</w:t>
      </w:r>
      <w:proofErr w:type="spellEnd"/>
      <w:r w:rsidR="00F50B43" w:rsidRPr="00CE1271">
        <w:rPr>
          <w:sz w:val="22"/>
          <w:szCs w:val="22"/>
        </w:rPr>
        <w:t xml:space="preserve">, C., Stevens, J., Sharman, J., Hinds, G., &amp; Stephens, I. E. (2024). Benchmarking stability of iridium oxide in acidic media under oxygen evolution conditions: A review: Part I. </w:t>
      </w:r>
      <w:r w:rsidR="00F50B43" w:rsidRPr="00CE1271">
        <w:rPr>
          <w:i/>
          <w:iCs/>
          <w:sz w:val="22"/>
          <w:szCs w:val="22"/>
        </w:rPr>
        <w:t>Johnson Matthey Technology Review</w:t>
      </w:r>
      <w:r w:rsidR="00F50B43" w:rsidRPr="00CE1271">
        <w:rPr>
          <w:sz w:val="22"/>
          <w:szCs w:val="22"/>
        </w:rPr>
        <w:t xml:space="preserve">, </w:t>
      </w:r>
      <w:r w:rsidR="00F50B43" w:rsidRPr="00CE1271">
        <w:rPr>
          <w:i/>
          <w:iCs/>
          <w:sz w:val="22"/>
          <w:szCs w:val="22"/>
        </w:rPr>
        <w:t>68</w:t>
      </w:r>
      <w:r w:rsidR="00F50B43" w:rsidRPr="00CE1271">
        <w:rPr>
          <w:sz w:val="22"/>
          <w:szCs w:val="22"/>
        </w:rPr>
        <w:t xml:space="preserve">(1), 121–146. https://doi.org/10.1595/205651323x16848455435118 </w:t>
      </w:r>
    </w:p>
    <w:p w14:paraId="67C80A52" w14:textId="1358CEA3" w:rsidR="00AD2C98" w:rsidRPr="00CE1271" w:rsidRDefault="006B08DC" w:rsidP="000F1A8F">
      <w:pPr>
        <w:spacing w:line="480" w:lineRule="auto"/>
        <w:jc w:val="both"/>
        <w:rPr>
          <w:sz w:val="22"/>
          <w:szCs w:val="22"/>
        </w:rPr>
      </w:pPr>
      <w:r w:rsidRPr="00CE1271">
        <w:rPr>
          <w:sz w:val="22"/>
          <w:szCs w:val="22"/>
        </w:rPr>
        <w:t>(</w:t>
      </w:r>
      <w:r w:rsidR="00DD753B" w:rsidRPr="00CE1271">
        <w:rPr>
          <w:sz w:val="22"/>
          <w:szCs w:val="22"/>
        </w:rPr>
        <w:t>3</w:t>
      </w:r>
      <w:r w:rsidR="00F50B43" w:rsidRPr="00CE1271">
        <w:rPr>
          <w:sz w:val="22"/>
          <w:szCs w:val="22"/>
        </w:rPr>
        <w:t>3</w:t>
      </w:r>
      <w:r w:rsidRPr="00CE1271">
        <w:rPr>
          <w:sz w:val="22"/>
          <w:szCs w:val="22"/>
        </w:rPr>
        <w:t xml:space="preserve">) </w:t>
      </w:r>
      <w:r w:rsidR="009B0C81" w:rsidRPr="00CE1271">
        <w:rPr>
          <w:sz w:val="22"/>
          <w:szCs w:val="22"/>
        </w:rPr>
        <w:t>Parsons, R. (1959). The relation between the capacity of the electrode double layer and the adsorption of surface-active material.</w:t>
      </w:r>
      <w:r w:rsidR="00E22581" w:rsidRPr="00CE1271">
        <w:t xml:space="preserve"> </w:t>
      </w:r>
      <w:r w:rsidR="00E22581" w:rsidRPr="00CE1271">
        <w:rPr>
          <w:i/>
          <w:iCs/>
          <w:sz w:val="22"/>
          <w:szCs w:val="22"/>
        </w:rPr>
        <w:t>Trans. Faraday Soc.,</w:t>
      </w:r>
      <w:r w:rsidR="009B0C81" w:rsidRPr="00CE1271">
        <w:rPr>
          <w:sz w:val="22"/>
          <w:szCs w:val="22"/>
        </w:rPr>
        <w:t xml:space="preserve"> </w:t>
      </w:r>
      <w:r w:rsidR="009B0C81" w:rsidRPr="00CE1271">
        <w:rPr>
          <w:i/>
          <w:iCs/>
          <w:sz w:val="22"/>
          <w:szCs w:val="22"/>
        </w:rPr>
        <w:t>55</w:t>
      </w:r>
      <w:r w:rsidR="009B0C81" w:rsidRPr="00CE1271">
        <w:rPr>
          <w:sz w:val="22"/>
          <w:szCs w:val="22"/>
        </w:rPr>
        <w:t xml:space="preserve">, 999. </w:t>
      </w:r>
      <w:hyperlink r:id="rId14" w:history="1">
        <w:r w:rsidR="00AD2C98" w:rsidRPr="00CE1271">
          <w:rPr>
            <w:rStyle w:val="af5"/>
            <w:sz w:val="22"/>
            <w:szCs w:val="22"/>
          </w:rPr>
          <w:t>https://doi.org/10.1039/tf9595500999</w:t>
        </w:r>
      </w:hyperlink>
    </w:p>
    <w:p w14:paraId="346BFEE7" w14:textId="50FC0FCA" w:rsidR="006B08DC" w:rsidRPr="00CE1271" w:rsidRDefault="00AD2C98" w:rsidP="000F1A8F">
      <w:pPr>
        <w:spacing w:line="480" w:lineRule="auto"/>
        <w:jc w:val="both"/>
        <w:rPr>
          <w:sz w:val="22"/>
          <w:szCs w:val="22"/>
        </w:rPr>
      </w:pPr>
      <w:r w:rsidRPr="005723DA">
        <w:rPr>
          <w:sz w:val="22"/>
          <w:szCs w:val="22"/>
        </w:rPr>
        <w:t>(</w:t>
      </w:r>
      <w:r w:rsidR="00DD753B" w:rsidRPr="005723DA">
        <w:rPr>
          <w:sz w:val="22"/>
          <w:szCs w:val="22"/>
        </w:rPr>
        <w:t>3</w:t>
      </w:r>
      <w:r w:rsidR="00F50B43" w:rsidRPr="005723DA">
        <w:rPr>
          <w:sz w:val="22"/>
          <w:szCs w:val="22"/>
        </w:rPr>
        <w:t>4</w:t>
      </w:r>
      <w:r w:rsidRPr="005723DA">
        <w:rPr>
          <w:sz w:val="22"/>
          <w:szCs w:val="22"/>
        </w:rPr>
        <w:t xml:space="preserve">) Trasatti, S., &amp; </w:t>
      </w:r>
      <w:proofErr w:type="spellStart"/>
      <w:r w:rsidRPr="005723DA">
        <w:rPr>
          <w:sz w:val="22"/>
          <w:szCs w:val="22"/>
        </w:rPr>
        <w:t>Petrii</w:t>
      </w:r>
      <w:proofErr w:type="spellEnd"/>
      <w:r w:rsidRPr="005723DA">
        <w:rPr>
          <w:sz w:val="22"/>
          <w:szCs w:val="22"/>
        </w:rPr>
        <w:t xml:space="preserve">, O. A. (1992). </w:t>
      </w:r>
      <w:r w:rsidRPr="00CE1271">
        <w:rPr>
          <w:sz w:val="22"/>
          <w:szCs w:val="22"/>
        </w:rPr>
        <w:t>Real surface area measurements in electrochemistry.</w:t>
      </w:r>
      <w:r w:rsidR="00E22581" w:rsidRPr="00CE1271">
        <w:rPr>
          <w:sz w:val="22"/>
          <w:szCs w:val="22"/>
        </w:rPr>
        <w:t xml:space="preserve"> </w:t>
      </w:r>
      <w:r w:rsidR="00E22581" w:rsidRPr="00CE1271">
        <w:rPr>
          <w:i/>
          <w:iCs/>
          <w:sz w:val="22"/>
          <w:szCs w:val="22"/>
        </w:rPr>
        <w:t xml:space="preserve">J. </w:t>
      </w:r>
      <w:proofErr w:type="spellStart"/>
      <w:r w:rsidR="00E22581" w:rsidRPr="00CE1271">
        <w:rPr>
          <w:i/>
          <w:iCs/>
          <w:sz w:val="22"/>
          <w:szCs w:val="22"/>
        </w:rPr>
        <w:t>Electroanal</w:t>
      </w:r>
      <w:proofErr w:type="spellEnd"/>
      <w:r w:rsidR="00E22581" w:rsidRPr="00CE1271">
        <w:rPr>
          <w:i/>
          <w:iCs/>
          <w:sz w:val="22"/>
          <w:szCs w:val="22"/>
        </w:rPr>
        <w:t>. Chem.</w:t>
      </w:r>
      <w:r w:rsidRPr="00CE1271">
        <w:rPr>
          <w:sz w:val="22"/>
          <w:szCs w:val="22"/>
        </w:rPr>
        <w:t xml:space="preserve">, </w:t>
      </w:r>
      <w:r w:rsidRPr="00CE1271">
        <w:rPr>
          <w:i/>
          <w:iCs/>
          <w:sz w:val="22"/>
          <w:szCs w:val="22"/>
        </w:rPr>
        <w:t>327</w:t>
      </w:r>
      <w:r w:rsidRPr="00CE1271">
        <w:rPr>
          <w:sz w:val="22"/>
          <w:szCs w:val="22"/>
        </w:rPr>
        <w:t xml:space="preserve">(1–2), 353–376. https://doi.org/10.1016/0022-0728(92)80162-w </w:t>
      </w:r>
      <w:r w:rsidR="009B0C81" w:rsidRPr="00CE1271">
        <w:rPr>
          <w:sz w:val="22"/>
          <w:szCs w:val="22"/>
        </w:rPr>
        <w:t xml:space="preserve"> </w:t>
      </w:r>
    </w:p>
    <w:p w14:paraId="2E1EC28E" w14:textId="70F6AAA5" w:rsidR="006B08DC" w:rsidRPr="005723DA" w:rsidRDefault="006B08DC" w:rsidP="000F1A8F">
      <w:pPr>
        <w:spacing w:line="480" w:lineRule="auto"/>
        <w:jc w:val="both"/>
        <w:rPr>
          <w:sz w:val="22"/>
          <w:szCs w:val="22"/>
          <w:lang w:val="es-MX"/>
        </w:rPr>
      </w:pPr>
      <w:r w:rsidRPr="005723DA">
        <w:rPr>
          <w:sz w:val="22"/>
          <w:szCs w:val="22"/>
        </w:rPr>
        <w:t>(</w:t>
      </w:r>
      <w:r w:rsidR="00DD753B" w:rsidRPr="005723DA">
        <w:rPr>
          <w:sz w:val="22"/>
          <w:szCs w:val="22"/>
        </w:rPr>
        <w:t>3</w:t>
      </w:r>
      <w:r w:rsidR="00F50B43" w:rsidRPr="005723DA">
        <w:rPr>
          <w:sz w:val="22"/>
          <w:szCs w:val="22"/>
        </w:rPr>
        <w:t>5</w:t>
      </w:r>
      <w:r w:rsidRPr="005723DA">
        <w:rPr>
          <w:sz w:val="22"/>
          <w:szCs w:val="22"/>
        </w:rPr>
        <w:t xml:space="preserve">) Anantharaj, </w:t>
      </w:r>
      <w:proofErr w:type="spellStart"/>
      <w:r w:rsidRPr="005723DA">
        <w:rPr>
          <w:sz w:val="22"/>
          <w:szCs w:val="22"/>
        </w:rPr>
        <w:t>Sengeni</w:t>
      </w:r>
      <w:proofErr w:type="spellEnd"/>
      <w:r w:rsidRPr="005723DA">
        <w:rPr>
          <w:sz w:val="22"/>
          <w:szCs w:val="22"/>
        </w:rPr>
        <w:t xml:space="preserve">, Kundu, S., &amp; Noda, S. (2021). </w:t>
      </w:r>
      <w:r w:rsidRPr="00CE1271">
        <w:rPr>
          <w:sz w:val="22"/>
          <w:szCs w:val="22"/>
        </w:rPr>
        <w:t xml:space="preserve">“The </w:t>
      </w:r>
      <w:r w:rsidR="00CC0D33" w:rsidRPr="00CE1271">
        <w:rPr>
          <w:sz w:val="22"/>
          <w:szCs w:val="22"/>
        </w:rPr>
        <w:t>F</w:t>
      </w:r>
      <w:r w:rsidRPr="00CE1271">
        <w:rPr>
          <w:sz w:val="22"/>
          <w:szCs w:val="22"/>
        </w:rPr>
        <w:t xml:space="preserve">e effect”: A review unveiling the critical roles of Fe in enhancing OER activity of </w:t>
      </w:r>
      <w:r w:rsidR="00DD753B" w:rsidRPr="00CE1271">
        <w:rPr>
          <w:sz w:val="22"/>
          <w:szCs w:val="22"/>
        </w:rPr>
        <w:t>N</w:t>
      </w:r>
      <w:r w:rsidRPr="00CE1271">
        <w:rPr>
          <w:sz w:val="22"/>
          <w:szCs w:val="22"/>
        </w:rPr>
        <w:t xml:space="preserve">i and </w:t>
      </w:r>
      <w:r w:rsidR="00DD753B" w:rsidRPr="00CE1271">
        <w:rPr>
          <w:sz w:val="22"/>
          <w:szCs w:val="22"/>
        </w:rPr>
        <w:t>C</w:t>
      </w:r>
      <w:r w:rsidRPr="00CE1271">
        <w:rPr>
          <w:sz w:val="22"/>
          <w:szCs w:val="22"/>
        </w:rPr>
        <w:t xml:space="preserve">o based catalysts. </w:t>
      </w:r>
      <w:r w:rsidRPr="005723DA">
        <w:rPr>
          <w:i/>
          <w:iCs/>
          <w:sz w:val="22"/>
          <w:szCs w:val="22"/>
          <w:lang w:val="es-MX"/>
        </w:rPr>
        <w:t>Nano Energy</w:t>
      </w:r>
      <w:r w:rsidRPr="005723DA">
        <w:rPr>
          <w:sz w:val="22"/>
          <w:szCs w:val="22"/>
          <w:lang w:val="es-MX"/>
        </w:rPr>
        <w:t xml:space="preserve">, </w:t>
      </w:r>
      <w:r w:rsidRPr="005723DA">
        <w:rPr>
          <w:i/>
          <w:iCs/>
          <w:sz w:val="22"/>
          <w:szCs w:val="22"/>
          <w:lang w:val="es-MX"/>
        </w:rPr>
        <w:t>80</w:t>
      </w:r>
      <w:r w:rsidRPr="005723DA">
        <w:rPr>
          <w:sz w:val="22"/>
          <w:szCs w:val="22"/>
          <w:lang w:val="es-MX"/>
        </w:rPr>
        <w:t xml:space="preserve">, 105514. https://doi.org/10.1016/j.nanoen.2020.105514 </w:t>
      </w:r>
    </w:p>
    <w:p w14:paraId="6D1A84DE" w14:textId="41FD7C38" w:rsidR="006B08DC" w:rsidRPr="00CE1271" w:rsidRDefault="006B08DC" w:rsidP="000F1A8F">
      <w:pPr>
        <w:spacing w:line="480" w:lineRule="auto"/>
        <w:jc w:val="both"/>
        <w:rPr>
          <w:sz w:val="22"/>
          <w:szCs w:val="22"/>
        </w:rPr>
      </w:pPr>
      <w:r w:rsidRPr="005723DA">
        <w:rPr>
          <w:sz w:val="22"/>
          <w:szCs w:val="22"/>
          <w:lang w:val="es-MX"/>
        </w:rPr>
        <w:t>(</w:t>
      </w:r>
      <w:r w:rsidR="00DD753B" w:rsidRPr="005723DA">
        <w:rPr>
          <w:sz w:val="22"/>
          <w:szCs w:val="22"/>
          <w:lang w:val="es-MX"/>
        </w:rPr>
        <w:t>3</w:t>
      </w:r>
      <w:r w:rsidR="00F50B43" w:rsidRPr="005723DA">
        <w:rPr>
          <w:sz w:val="22"/>
          <w:szCs w:val="22"/>
          <w:lang w:val="es-MX"/>
        </w:rPr>
        <w:t>6</w:t>
      </w:r>
      <w:r w:rsidRPr="005723DA">
        <w:rPr>
          <w:sz w:val="22"/>
          <w:szCs w:val="22"/>
          <w:lang w:val="es-MX"/>
        </w:rPr>
        <w:t xml:space="preserve">) Vos, J. G., Wezendonk, T. A., Jeremiasse, A. W., &amp; Koper, M. T. (2018). </w:t>
      </w:r>
      <w:proofErr w:type="spellStart"/>
      <w:r w:rsidRPr="00CE1271">
        <w:rPr>
          <w:sz w:val="22"/>
          <w:szCs w:val="22"/>
        </w:rPr>
        <w:t>MnOx</w:t>
      </w:r>
      <w:proofErr w:type="spellEnd"/>
      <w:r w:rsidRPr="00CE1271">
        <w:rPr>
          <w:sz w:val="22"/>
          <w:szCs w:val="22"/>
        </w:rPr>
        <w:t>/</w:t>
      </w:r>
      <w:proofErr w:type="spellStart"/>
      <w:r w:rsidRPr="00CE1271">
        <w:rPr>
          <w:sz w:val="22"/>
          <w:szCs w:val="22"/>
        </w:rPr>
        <w:t>IrOx</w:t>
      </w:r>
      <w:proofErr w:type="spellEnd"/>
      <w:r w:rsidRPr="00CE1271">
        <w:rPr>
          <w:sz w:val="22"/>
          <w:szCs w:val="22"/>
        </w:rPr>
        <w:t xml:space="preserve"> as selective oxygen evolution Electrocatalyst in acidic chloride solution.</w:t>
      </w:r>
      <w:r w:rsidR="008962E8" w:rsidRPr="00CE1271">
        <w:rPr>
          <w:sz w:val="22"/>
          <w:szCs w:val="22"/>
        </w:rPr>
        <w:t xml:space="preserve"> </w:t>
      </w:r>
      <w:r w:rsidR="008962E8" w:rsidRPr="00CE1271">
        <w:rPr>
          <w:i/>
          <w:iCs/>
          <w:sz w:val="22"/>
          <w:szCs w:val="22"/>
        </w:rPr>
        <w:t>J. Am. Chem. Soc.</w:t>
      </w:r>
      <w:r w:rsidRPr="00CE1271">
        <w:rPr>
          <w:i/>
          <w:iCs/>
          <w:sz w:val="22"/>
          <w:szCs w:val="22"/>
        </w:rPr>
        <w:t>,</w:t>
      </w:r>
      <w:r w:rsidRPr="00CE1271">
        <w:rPr>
          <w:sz w:val="22"/>
          <w:szCs w:val="22"/>
        </w:rPr>
        <w:t xml:space="preserve"> </w:t>
      </w:r>
      <w:r w:rsidRPr="00CE1271">
        <w:rPr>
          <w:i/>
          <w:iCs/>
          <w:sz w:val="22"/>
          <w:szCs w:val="22"/>
        </w:rPr>
        <w:t>140</w:t>
      </w:r>
      <w:r w:rsidRPr="00CE1271">
        <w:rPr>
          <w:sz w:val="22"/>
          <w:szCs w:val="22"/>
        </w:rPr>
        <w:t xml:space="preserve">(32), 10270–10281. https://doi.org/10.1021/jacs.8b05382 </w:t>
      </w:r>
    </w:p>
    <w:p w14:paraId="13008D72" w14:textId="349348FC" w:rsidR="006B08DC" w:rsidRPr="00CE1271" w:rsidRDefault="006B08DC" w:rsidP="000F1A8F">
      <w:pPr>
        <w:spacing w:line="480" w:lineRule="auto"/>
        <w:jc w:val="both"/>
        <w:rPr>
          <w:sz w:val="22"/>
          <w:szCs w:val="22"/>
        </w:rPr>
      </w:pPr>
      <w:r w:rsidRPr="00CE1271">
        <w:rPr>
          <w:sz w:val="22"/>
          <w:szCs w:val="22"/>
        </w:rPr>
        <w:lastRenderedPageBreak/>
        <w:t>(</w:t>
      </w:r>
      <w:r w:rsidR="00DD753B" w:rsidRPr="00CE1271">
        <w:rPr>
          <w:sz w:val="22"/>
          <w:szCs w:val="22"/>
        </w:rPr>
        <w:t>3</w:t>
      </w:r>
      <w:r w:rsidR="00F50B43" w:rsidRPr="00CE1271">
        <w:rPr>
          <w:sz w:val="22"/>
          <w:szCs w:val="22"/>
        </w:rPr>
        <w:t>7</w:t>
      </w:r>
      <w:r w:rsidRPr="00CE1271">
        <w:rPr>
          <w:sz w:val="22"/>
          <w:szCs w:val="22"/>
        </w:rPr>
        <w:t xml:space="preserve">) Hubert, M. A., Patel, A. M., Gallo, A., Liu, Y., Valle, E., Ben-Naim, M., Sanchez, J., </w:t>
      </w:r>
      <w:proofErr w:type="spellStart"/>
      <w:r w:rsidRPr="00CE1271">
        <w:rPr>
          <w:sz w:val="22"/>
          <w:szCs w:val="22"/>
        </w:rPr>
        <w:t>Sokaras</w:t>
      </w:r>
      <w:proofErr w:type="spellEnd"/>
      <w:r w:rsidRPr="00CE1271">
        <w:rPr>
          <w:sz w:val="22"/>
          <w:szCs w:val="22"/>
        </w:rPr>
        <w:t xml:space="preserve">, D., Sinclair, R., Nørskov, J. K., King, L. A., </w:t>
      </w:r>
      <w:proofErr w:type="spellStart"/>
      <w:r w:rsidRPr="00CE1271">
        <w:rPr>
          <w:sz w:val="22"/>
          <w:szCs w:val="22"/>
        </w:rPr>
        <w:t>Bajdich</w:t>
      </w:r>
      <w:proofErr w:type="spellEnd"/>
      <w:r w:rsidRPr="00CE1271">
        <w:rPr>
          <w:sz w:val="22"/>
          <w:szCs w:val="22"/>
        </w:rPr>
        <w:t>, M., &amp; Jaramillo, T. F. (2020). Acidic oxygen evolution reaction activity–stability relationships in R</w:t>
      </w:r>
      <w:r w:rsidR="00FB6865" w:rsidRPr="00CE1271">
        <w:rPr>
          <w:sz w:val="22"/>
          <w:szCs w:val="22"/>
        </w:rPr>
        <w:t>u</w:t>
      </w:r>
      <w:r w:rsidRPr="00CE1271">
        <w:rPr>
          <w:sz w:val="22"/>
          <w:szCs w:val="22"/>
        </w:rPr>
        <w:t xml:space="preserve">-based Pyrochlores. </w:t>
      </w:r>
      <w:r w:rsidRPr="00CE1271">
        <w:rPr>
          <w:i/>
          <w:iCs/>
          <w:sz w:val="22"/>
          <w:szCs w:val="22"/>
        </w:rPr>
        <w:t>ACS</w:t>
      </w:r>
      <w:r w:rsidR="00E22581" w:rsidRPr="00CE1271">
        <w:rPr>
          <w:i/>
          <w:iCs/>
          <w:sz w:val="22"/>
          <w:szCs w:val="22"/>
        </w:rPr>
        <w:t xml:space="preserve"> </w:t>
      </w:r>
      <w:proofErr w:type="spellStart"/>
      <w:r w:rsidR="00E22581" w:rsidRPr="00CE1271">
        <w:rPr>
          <w:i/>
          <w:iCs/>
          <w:sz w:val="22"/>
          <w:szCs w:val="22"/>
        </w:rPr>
        <w:t>Catal</w:t>
      </w:r>
      <w:proofErr w:type="spellEnd"/>
      <w:r w:rsidR="00E22581" w:rsidRPr="00CE1271">
        <w:rPr>
          <w:i/>
          <w:iCs/>
          <w:sz w:val="22"/>
          <w:szCs w:val="22"/>
        </w:rPr>
        <w:t>.</w:t>
      </w:r>
      <w:r w:rsidRPr="00CE1271">
        <w:rPr>
          <w:sz w:val="22"/>
          <w:szCs w:val="22"/>
        </w:rPr>
        <w:t xml:space="preserve">, </w:t>
      </w:r>
      <w:r w:rsidRPr="00CE1271">
        <w:rPr>
          <w:i/>
          <w:iCs/>
          <w:sz w:val="22"/>
          <w:szCs w:val="22"/>
        </w:rPr>
        <w:t>10</w:t>
      </w:r>
      <w:r w:rsidRPr="00CE1271">
        <w:rPr>
          <w:sz w:val="22"/>
          <w:szCs w:val="22"/>
        </w:rPr>
        <w:t xml:space="preserve">(20), 12182–12196. https://doi.org/10.1021/acscatal.0c02252 </w:t>
      </w:r>
    </w:p>
    <w:p w14:paraId="173EFF92" w14:textId="1163C0D2" w:rsidR="006B08DC" w:rsidRPr="00CE1271" w:rsidRDefault="006B08DC" w:rsidP="000F1A8F">
      <w:pPr>
        <w:spacing w:line="480" w:lineRule="auto"/>
        <w:jc w:val="both"/>
        <w:rPr>
          <w:sz w:val="22"/>
          <w:szCs w:val="22"/>
        </w:rPr>
      </w:pPr>
      <w:r w:rsidRPr="00CE1271">
        <w:rPr>
          <w:sz w:val="22"/>
          <w:szCs w:val="22"/>
        </w:rPr>
        <w:t>(</w:t>
      </w:r>
      <w:r w:rsidR="00DD753B" w:rsidRPr="00CE1271">
        <w:rPr>
          <w:sz w:val="22"/>
          <w:szCs w:val="22"/>
        </w:rPr>
        <w:t>3</w:t>
      </w:r>
      <w:r w:rsidR="00F50B43" w:rsidRPr="00CE1271">
        <w:rPr>
          <w:sz w:val="22"/>
          <w:szCs w:val="22"/>
        </w:rPr>
        <w:t>8</w:t>
      </w:r>
      <w:r w:rsidRPr="00CE1271">
        <w:rPr>
          <w:sz w:val="22"/>
          <w:szCs w:val="22"/>
        </w:rPr>
        <w:t xml:space="preserve">) </w:t>
      </w:r>
      <w:r w:rsidR="00D34826" w:rsidRPr="00CE1271">
        <w:rPr>
          <w:sz w:val="22"/>
          <w:szCs w:val="22"/>
        </w:rPr>
        <w:t>Schmidt, T. J.</w:t>
      </w:r>
      <w:r w:rsidR="00D34826" w:rsidRPr="00CE1271">
        <w:rPr>
          <w:rFonts w:hint="eastAsia"/>
          <w:sz w:val="22"/>
          <w:szCs w:val="22"/>
        </w:rPr>
        <w:t>,</w:t>
      </w:r>
      <w:r w:rsidR="00D34826" w:rsidRPr="00CE1271">
        <w:rPr>
          <w:sz w:val="22"/>
          <w:szCs w:val="22"/>
        </w:rPr>
        <w:t xml:space="preserve"> Gasteiger, H. A.</w:t>
      </w:r>
      <w:r w:rsidR="00D34826" w:rsidRPr="00CE1271">
        <w:rPr>
          <w:rFonts w:hint="eastAsia"/>
          <w:sz w:val="22"/>
          <w:szCs w:val="22"/>
        </w:rPr>
        <w:t>,</w:t>
      </w:r>
      <w:r w:rsidR="00D34826" w:rsidRPr="00CE1271">
        <w:rPr>
          <w:sz w:val="22"/>
          <w:szCs w:val="22"/>
        </w:rPr>
        <w:t xml:space="preserve"> </w:t>
      </w:r>
      <w:proofErr w:type="spellStart"/>
      <w:r w:rsidR="00D34826" w:rsidRPr="00CE1271">
        <w:rPr>
          <w:sz w:val="22"/>
          <w:szCs w:val="22"/>
        </w:rPr>
        <w:t>Stäb</w:t>
      </w:r>
      <w:proofErr w:type="spellEnd"/>
      <w:r w:rsidR="00D34826" w:rsidRPr="00CE1271">
        <w:rPr>
          <w:sz w:val="22"/>
          <w:szCs w:val="22"/>
        </w:rPr>
        <w:t>, G. D.</w:t>
      </w:r>
      <w:r w:rsidR="00D34826" w:rsidRPr="00CE1271">
        <w:rPr>
          <w:rFonts w:hint="eastAsia"/>
          <w:sz w:val="22"/>
          <w:szCs w:val="22"/>
        </w:rPr>
        <w:t>,</w:t>
      </w:r>
      <w:r w:rsidR="00D34826" w:rsidRPr="00CE1271">
        <w:rPr>
          <w:sz w:val="22"/>
          <w:szCs w:val="22"/>
        </w:rPr>
        <w:t xml:space="preserve"> Urban, P. M.</w:t>
      </w:r>
      <w:r w:rsidR="00D34826" w:rsidRPr="00CE1271">
        <w:rPr>
          <w:rFonts w:hint="eastAsia"/>
          <w:sz w:val="22"/>
          <w:szCs w:val="22"/>
        </w:rPr>
        <w:t>,</w:t>
      </w:r>
      <w:r w:rsidR="00D34826" w:rsidRPr="00CE1271">
        <w:rPr>
          <w:sz w:val="22"/>
          <w:szCs w:val="22"/>
        </w:rPr>
        <w:t xml:space="preserve"> Kolb</w:t>
      </w:r>
      <w:r w:rsidR="00D34826" w:rsidRPr="00CE1271">
        <w:rPr>
          <w:rFonts w:hint="eastAsia"/>
          <w:sz w:val="22"/>
          <w:szCs w:val="22"/>
        </w:rPr>
        <w:t>,</w:t>
      </w:r>
      <w:r w:rsidR="00D34826" w:rsidRPr="00CE1271">
        <w:rPr>
          <w:sz w:val="22"/>
          <w:szCs w:val="22"/>
        </w:rPr>
        <w:t xml:space="preserve"> D. M. &amp; Behm</w:t>
      </w:r>
      <w:r w:rsidR="00D34826" w:rsidRPr="00CE1271">
        <w:rPr>
          <w:rFonts w:hint="eastAsia"/>
          <w:sz w:val="22"/>
          <w:szCs w:val="22"/>
        </w:rPr>
        <w:t xml:space="preserve">, </w:t>
      </w:r>
      <w:r w:rsidR="00D34826" w:rsidRPr="00CE1271">
        <w:rPr>
          <w:sz w:val="22"/>
          <w:szCs w:val="22"/>
        </w:rPr>
        <w:t>R. J.</w:t>
      </w:r>
      <w:r w:rsidR="00D34826" w:rsidRPr="00CE1271">
        <w:rPr>
          <w:rFonts w:hint="eastAsia"/>
          <w:sz w:val="22"/>
          <w:szCs w:val="22"/>
        </w:rPr>
        <w:t xml:space="preserve"> (1998). Characterization of High</w:t>
      </w:r>
      <w:r w:rsidR="00D34826" w:rsidRPr="00CE1271">
        <w:rPr>
          <w:rFonts w:hint="eastAsia"/>
          <w:sz w:val="22"/>
          <w:szCs w:val="22"/>
        </w:rPr>
        <w:t>‐</w:t>
      </w:r>
      <w:r w:rsidR="00D34826" w:rsidRPr="00CE1271">
        <w:rPr>
          <w:rFonts w:hint="eastAsia"/>
          <w:sz w:val="22"/>
          <w:szCs w:val="22"/>
        </w:rPr>
        <w:t>Surface</w:t>
      </w:r>
      <w:r w:rsidR="00D34826" w:rsidRPr="00CE1271">
        <w:rPr>
          <w:rFonts w:hint="eastAsia"/>
          <w:sz w:val="22"/>
          <w:szCs w:val="22"/>
        </w:rPr>
        <w:t>‐</w:t>
      </w:r>
      <w:r w:rsidR="00D34826" w:rsidRPr="00CE1271">
        <w:rPr>
          <w:rFonts w:hint="eastAsia"/>
          <w:sz w:val="22"/>
          <w:szCs w:val="22"/>
        </w:rPr>
        <w:t xml:space="preserve">Area Electrocatalysts Using a Rotating Disk Electrode Configuration. </w:t>
      </w:r>
      <w:r w:rsidR="00D34826" w:rsidRPr="00CE1271">
        <w:rPr>
          <w:rFonts w:hint="eastAsia"/>
          <w:i/>
          <w:iCs/>
          <w:sz w:val="22"/>
          <w:szCs w:val="22"/>
        </w:rPr>
        <w:t xml:space="preserve">J. </w:t>
      </w:r>
      <w:proofErr w:type="spellStart"/>
      <w:r w:rsidR="00D34826" w:rsidRPr="00CE1271">
        <w:rPr>
          <w:rFonts w:hint="eastAsia"/>
          <w:i/>
          <w:iCs/>
          <w:sz w:val="22"/>
          <w:szCs w:val="22"/>
        </w:rPr>
        <w:t>Electrochem</w:t>
      </w:r>
      <w:proofErr w:type="spellEnd"/>
      <w:r w:rsidR="00D34826" w:rsidRPr="00CE1271">
        <w:rPr>
          <w:rFonts w:hint="eastAsia"/>
          <w:i/>
          <w:iCs/>
          <w:sz w:val="22"/>
          <w:szCs w:val="22"/>
        </w:rPr>
        <w:t>. Soc.</w:t>
      </w:r>
      <w:r w:rsidR="00D34826" w:rsidRPr="00CE1271">
        <w:rPr>
          <w:rFonts w:hint="eastAsia"/>
          <w:sz w:val="22"/>
          <w:szCs w:val="22"/>
        </w:rPr>
        <w:t xml:space="preserve">, 145(7), </w:t>
      </w:r>
      <w:r w:rsidR="00D34826" w:rsidRPr="00CE1271">
        <w:rPr>
          <w:sz w:val="22"/>
          <w:szCs w:val="22"/>
        </w:rPr>
        <w:t>134-145</w:t>
      </w:r>
      <w:r w:rsidR="00D34826" w:rsidRPr="00CE1271">
        <w:rPr>
          <w:rFonts w:hint="eastAsia"/>
          <w:sz w:val="22"/>
          <w:szCs w:val="22"/>
        </w:rPr>
        <w:t xml:space="preserve">. </w:t>
      </w:r>
      <w:r w:rsidR="00D34826" w:rsidRPr="00CE1271">
        <w:rPr>
          <w:sz w:val="22"/>
          <w:szCs w:val="22"/>
        </w:rPr>
        <w:t>https://iopscience.iop.org/article/10.1149/1.1838642/</w:t>
      </w:r>
      <w:r w:rsidRPr="00CE1271">
        <w:rPr>
          <w:sz w:val="22"/>
          <w:szCs w:val="22"/>
        </w:rPr>
        <w:t xml:space="preserve"> </w:t>
      </w:r>
    </w:p>
    <w:p w14:paraId="0ED73FB1" w14:textId="3AE8E087" w:rsidR="008E298F" w:rsidRPr="00CE1271" w:rsidRDefault="008E298F" w:rsidP="000F1A8F">
      <w:pPr>
        <w:spacing w:line="480" w:lineRule="auto"/>
        <w:jc w:val="both"/>
        <w:rPr>
          <w:sz w:val="22"/>
          <w:szCs w:val="22"/>
        </w:rPr>
      </w:pPr>
      <w:r w:rsidRPr="00CE1271">
        <w:rPr>
          <w:rFonts w:hint="eastAsia"/>
          <w:sz w:val="22"/>
          <w:szCs w:val="22"/>
        </w:rPr>
        <w:t>(</w:t>
      </w:r>
      <w:r w:rsidRPr="00CE1271">
        <w:rPr>
          <w:sz w:val="22"/>
          <w:szCs w:val="22"/>
        </w:rPr>
        <w:t>3</w:t>
      </w:r>
      <w:r w:rsidR="00F50B43" w:rsidRPr="00CE1271">
        <w:rPr>
          <w:sz w:val="22"/>
          <w:szCs w:val="22"/>
        </w:rPr>
        <w:t>9</w:t>
      </w:r>
      <w:r w:rsidRPr="00CE1271">
        <w:rPr>
          <w:rFonts w:hint="eastAsia"/>
          <w:sz w:val="22"/>
          <w:szCs w:val="22"/>
        </w:rPr>
        <w:t xml:space="preserve">) </w:t>
      </w:r>
      <w:proofErr w:type="spellStart"/>
      <w:r w:rsidR="00D34826" w:rsidRPr="00CE1271">
        <w:rPr>
          <w:sz w:val="22"/>
          <w:szCs w:val="22"/>
        </w:rPr>
        <w:t>Kaliyaraj</w:t>
      </w:r>
      <w:proofErr w:type="spellEnd"/>
      <w:r w:rsidR="00D34826" w:rsidRPr="00CE1271">
        <w:rPr>
          <w:sz w:val="22"/>
          <w:szCs w:val="22"/>
        </w:rPr>
        <w:t xml:space="preserve"> Selva Kumar, A., Zhang, Y., Li, D., &amp; Compton, R. G. (2020). A </w:t>
      </w:r>
      <w:proofErr w:type="gramStart"/>
      <w:r w:rsidR="00D34826" w:rsidRPr="00CE1271">
        <w:rPr>
          <w:sz w:val="22"/>
          <w:szCs w:val="22"/>
        </w:rPr>
        <w:t>mini-review</w:t>
      </w:r>
      <w:proofErr w:type="gramEnd"/>
      <w:r w:rsidR="00D34826" w:rsidRPr="00CE1271">
        <w:rPr>
          <w:sz w:val="22"/>
          <w:szCs w:val="22"/>
        </w:rPr>
        <w:t>: How reliable is the drop casting technique?</w:t>
      </w:r>
      <w:r w:rsidR="00D34826" w:rsidRPr="00CE1271">
        <w:t xml:space="preserve"> </w:t>
      </w:r>
      <w:proofErr w:type="spellStart"/>
      <w:r w:rsidR="00D34826" w:rsidRPr="00CE1271">
        <w:rPr>
          <w:i/>
          <w:iCs/>
          <w:sz w:val="22"/>
          <w:szCs w:val="22"/>
        </w:rPr>
        <w:t>Electrochem</w:t>
      </w:r>
      <w:proofErr w:type="spellEnd"/>
      <w:r w:rsidR="00D34826" w:rsidRPr="00CE1271">
        <w:rPr>
          <w:i/>
          <w:iCs/>
          <w:sz w:val="22"/>
          <w:szCs w:val="22"/>
        </w:rPr>
        <w:t>. Commun.</w:t>
      </w:r>
      <w:r w:rsidR="00D34826" w:rsidRPr="00CE1271">
        <w:rPr>
          <w:sz w:val="22"/>
          <w:szCs w:val="22"/>
        </w:rPr>
        <w:t xml:space="preserve">, </w:t>
      </w:r>
      <w:r w:rsidR="00D34826" w:rsidRPr="00CE1271">
        <w:rPr>
          <w:i/>
          <w:iCs/>
          <w:sz w:val="22"/>
          <w:szCs w:val="22"/>
        </w:rPr>
        <w:t>121</w:t>
      </w:r>
      <w:r w:rsidR="00D34826" w:rsidRPr="00CE1271">
        <w:rPr>
          <w:sz w:val="22"/>
          <w:szCs w:val="22"/>
        </w:rPr>
        <w:t>, 106867. https://doi.org/10.1016/j.elecom.2020.106867</w:t>
      </w:r>
    </w:p>
    <w:p w14:paraId="66DF3D82" w14:textId="2ABF522B" w:rsidR="006B08DC" w:rsidRPr="00CE1271" w:rsidRDefault="006B08DC" w:rsidP="000F1A8F">
      <w:pPr>
        <w:spacing w:line="480" w:lineRule="auto"/>
        <w:jc w:val="both"/>
        <w:rPr>
          <w:sz w:val="22"/>
          <w:szCs w:val="22"/>
        </w:rPr>
      </w:pPr>
      <w:r w:rsidRPr="00CE1271">
        <w:rPr>
          <w:sz w:val="22"/>
          <w:szCs w:val="22"/>
        </w:rPr>
        <w:t>(</w:t>
      </w:r>
      <w:r w:rsidR="00F50B43" w:rsidRPr="00CE1271">
        <w:rPr>
          <w:sz w:val="22"/>
          <w:szCs w:val="22"/>
        </w:rPr>
        <w:t>40</w:t>
      </w:r>
      <w:r w:rsidRPr="00CE1271">
        <w:rPr>
          <w:sz w:val="22"/>
          <w:szCs w:val="22"/>
        </w:rPr>
        <w:t xml:space="preserve">) Ahmad, M. U., Suresh, G., &amp; Bang, J. H. (2024). </w:t>
      </w:r>
      <w:proofErr w:type="spellStart"/>
      <w:r w:rsidRPr="00CE1271">
        <w:rPr>
          <w:sz w:val="22"/>
          <w:szCs w:val="22"/>
        </w:rPr>
        <w:t>Rescrutinizing</w:t>
      </w:r>
      <w:proofErr w:type="spellEnd"/>
      <w:r w:rsidRPr="00CE1271">
        <w:rPr>
          <w:sz w:val="22"/>
          <w:szCs w:val="22"/>
        </w:rPr>
        <w:t xml:space="preserve"> the iron effect on oxygen evolution reaction catalysts under industrially relevant working conditions: Overlooked mass transfer limitation driven by the Iron Incorporation.</w:t>
      </w:r>
      <w:r w:rsidR="00E22581" w:rsidRPr="00CE1271">
        <w:t xml:space="preserve"> </w:t>
      </w:r>
      <w:r w:rsidR="00E22581" w:rsidRPr="00CE1271">
        <w:rPr>
          <w:i/>
          <w:iCs/>
          <w:sz w:val="22"/>
          <w:szCs w:val="22"/>
        </w:rPr>
        <w:t>ACS Energy Lett.</w:t>
      </w:r>
      <w:r w:rsidRPr="00CE1271">
        <w:rPr>
          <w:i/>
          <w:iCs/>
          <w:sz w:val="22"/>
          <w:szCs w:val="22"/>
        </w:rPr>
        <w:t>,</w:t>
      </w:r>
      <w:r w:rsidRPr="00CE1271">
        <w:rPr>
          <w:sz w:val="22"/>
          <w:szCs w:val="22"/>
        </w:rPr>
        <w:t xml:space="preserve"> </w:t>
      </w:r>
      <w:r w:rsidRPr="00CE1271">
        <w:rPr>
          <w:i/>
          <w:iCs/>
          <w:sz w:val="22"/>
          <w:szCs w:val="22"/>
        </w:rPr>
        <w:t>9</w:t>
      </w:r>
      <w:r w:rsidRPr="00CE1271">
        <w:rPr>
          <w:sz w:val="22"/>
          <w:szCs w:val="22"/>
        </w:rPr>
        <w:t xml:space="preserve">(10), 4953–4958. https://doi.org/10.1021/acsenergylett.4c01942 </w:t>
      </w:r>
    </w:p>
    <w:p w14:paraId="0B440D97" w14:textId="479A745D" w:rsidR="006B08DC" w:rsidRPr="00CE1271" w:rsidRDefault="00726768" w:rsidP="000F1A8F">
      <w:pPr>
        <w:spacing w:line="480" w:lineRule="auto"/>
        <w:jc w:val="both"/>
        <w:rPr>
          <w:sz w:val="22"/>
          <w:szCs w:val="22"/>
        </w:rPr>
      </w:pPr>
      <w:r w:rsidRPr="00CE1271">
        <w:rPr>
          <w:sz w:val="22"/>
          <w:szCs w:val="22"/>
        </w:rPr>
        <w:t>(</w:t>
      </w:r>
      <w:r w:rsidR="00F50B43" w:rsidRPr="00CE1271">
        <w:rPr>
          <w:sz w:val="22"/>
          <w:szCs w:val="22"/>
        </w:rPr>
        <w:t>41</w:t>
      </w:r>
      <w:r w:rsidRPr="00CE1271">
        <w:rPr>
          <w:sz w:val="22"/>
          <w:szCs w:val="22"/>
        </w:rPr>
        <w:t xml:space="preserve">) Zheng, W. (2023). iR compensation for electrocatalysis studies: Considerations and recommendations. </w:t>
      </w:r>
      <w:r w:rsidR="00E22581" w:rsidRPr="00CE1271">
        <w:rPr>
          <w:i/>
          <w:iCs/>
          <w:sz w:val="22"/>
          <w:szCs w:val="22"/>
        </w:rPr>
        <w:t>ACS Energy Lett.</w:t>
      </w:r>
      <w:r w:rsidRPr="00CE1271">
        <w:rPr>
          <w:i/>
          <w:iCs/>
          <w:sz w:val="22"/>
          <w:szCs w:val="22"/>
        </w:rPr>
        <w:t>, 8</w:t>
      </w:r>
      <w:r w:rsidRPr="00CE1271">
        <w:rPr>
          <w:sz w:val="22"/>
          <w:szCs w:val="22"/>
        </w:rPr>
        <w:t xml:space="preserve">(4), 1952–1958. https://doi.org/10.1021/acsenergylett.3c00366 </w:t>
      </w:r>
    </w:p>
    <w:p w14:paraId="1D7C0F0F" w14:textId="0B6EF57F" w:rsidR="0021275E" w:rsidRPr="00CE1271" w:rsidRDefault="00DB5C48" w:rsidP="000F1A8F">
      <w:pPr>
        <w:spacing w:line="480" w:lineRule="auto"/>
        <w:jc w:val="both"/>
        <w:rPr>
          <w:sz w:val="22"/>
          <w:szCs w:val="22"/>
        </w:rPr>
      </w:pPr>
      <w:r w:rsidRPr="00CE1271">
        <w:rPr>
          <w:rFonts w:hint="eastAsia"/>
          <w:sz w:val="22"/>
          <w:szCs w:val="22"/>
        </w:rPr>
        <w:t>(</w:t>
      </w:r>
      <w:r w:rsidRPr="00CE1271">
        <w:rPr>
          <w:sz w:val="22"/>
          <w:szCs w:val="22"/>
        </w:rPr>
        <w:t>4</w:t>
      </w:r>
      <w:r w:rsidR="00F50B43" w:rsidRPr="00CE1271">
        <w:rPr>
          <w:sz w:val="22"/>
          <w:szCs w:val="22"/>
        </w:rPr>
        <w:t>2</w:t>
      </w:r>
      <w:r w:rsidRPr="00CE1271">
        <w:rPr>
          <w:rFonts w:hint="eastAsia"/>
          <w:sz w:val="22"/>
          <w:szCs w:val="22"/>
        </w:rPr>
        <w:t xml:space="preserve">) </w:t>
      </w:r>
      <w:r w:rsidR="007D2F38" w:rsidRPr="00CE1271">
        <w:rPr>
          <w:sz w:val="22"/>
          <w:szCs w:val="22"/>
        </w:rPr>
        <w:t>Sakaushi,</w:t>
      </w:r>
      <w:r w:rsidR="007D2F38" w:rsidRPr="00CE1271">
        <w:rPr>
          <w:rFonts w:hint="eastAsia"/>
          <w:sz w:val="22"/>
          <w:szCs w:val="22"/>
        </w:rPr>
        <w:t xml:space="preserve"> K.,</w:t>
      </w:r>
      <w:r w:rsidR="007D2F38" w:rsidRPr="00CE1271">
        <w:rPr>
          <w:sz w:val="22"/>
          <w:szCs w:val="22"/>
        </w:rPr>
        <w:t xml:space="preserve"> Watanabe,</w:t>
      </w:r>
      <w:r w:rsidR="007D2F38" w:rsidRPr="00CE1271">
        <w:rPr>
          <w:rFonts w:hint="eastAsia"/>
          <w:sz w:val="22"/>
          <w:szCs w:val="22"/>
        </w:rPr>
        <w:t xml:space="preserve"> A.,</w:t>
      </w:r>
      <w:r w:rsidR="007D2F38" w:rsidRPr="00CE1271">
        <w:rPr>
          <w:sz w:val="22"/>
          <w:szCs w:val="22"/>
        </w:rPr>
        <w:t xml:space="preserve"> </w:t>
      </w:r>
      <w:proofErr w:type="spellStart"/>
      <w:r w:rsidR="007D2F38" w:rsidRPr="00CE1271">
        <w:rPr>
          <w:sz w:val="22"/>
          <w:szCs w:val="22"/>
        </w:rPr>
        <w:t>Kumeda</w:t>
      </w:r>
      <w:proofErr w:type="spellEnd"/>
      <w:r w:rsidR="007D2F38" w:rsidRPr="00CE1271">
        <w:rPr>
          <w:sz w:val="22"/>
          <w:szCs w:val="22"/>
        </w:rPr>
        <w:t>,</w:t>
      </w:r>
      <w:r w:rsidR="007D2F38" w:rsidRPr="00CE1271">
        <w:rPr>
          <w:rFonts w:hint="eastAsia"/>
          <w:sz w:val="22"/>
          <w:szCs w:val="22"/>
        </w:rPr>
        <w:t xml:space="preserve"> T.,</w:t>
      </w:r>
      <w:r w:rsidR="007D2F38" w:rsidRPr="00CE1271">
        <w:rPr>
          <w:sz w:val="22"/>
          <w:szCs w:val="22"/>
        </w:rPr>
        <w:t xml:space="preserve"> Shibuta</w:t>
      </w:r>
      <w:r w:rsidR="007D2F38" w:rsidRPr="00CE1271">
        <w:rPr>
          <w:rFonts w:hint="eastAsia"/>
          <w:sz w:val="22"/>
          <w:szCs w:val="22"/>
        </w:rPr>
        <w:t xml:space="preserve">, Y. </w:t>
      </w:r>
      <w:r w:rsidR="00044E49" w:rsidRPr="00CE1271">
        <w:rPr>
          <w:rFonts w:hint="eastAsia"/>
          <w:sz w:val="22"/>
          <w:szCs w:val="22"/>
        </w:rPr>
        <w:t xml:space="preserve">(2022). </w:t>
      </w:r>
      <w:r w:rsidR="00DA697A" w:rsidRPr="00CE1271">
        <w:rPr>
          <w:sz w:val="22"/>
          <w:szCs w:val="22"/>
        </w:rPr>
        <w:t xml:space="preserve">Fast-Decoding Algorithm for Electrode Processes at Electrified Interfaces by Mean-Field Kinetic Model and Bayesian Data Assimilation: An Active-Data-Mining Approach for the Efficient Search and Discovery of </w:t>
      </w:r>
      <w:r w:rsidR="00DA697A" w:rsidRPr="00CE1271">
        <w:rPr>
          <w:sz w:val="22"/>
          <w:szCs w:val="22"/>
        </w:rPr>
        <w:lastRenderedPageBreak/>
        <w:t>Electrocatalysts</w:t>
      </w:r>
      <w:r w:rsidR="00044E49" w:rsidRPr="00CE1271">
        <w:rPr>
          <w:rFonts w:hint="eastAsia"/>
          <w:sz w:val="22"/>
          <w:szCs w:val="22"/>
        </w:rPr>
        <w:t xml:space="preserve">. </w:t>
      </w:r>
      <w:r w:rsidR="00044E49" w:rsidRPr="00CE1271">
        <w:rPr>
          <w:rFonts w:hint="eastAsia"/>
          <w:i/>
          <w:iCs/>
          <w:sz w:val="22"/>
          <w:szCs w:val="22"/>
        </w:rPr>
        <w:t>ACS Appl. Mater. Int.</w:t>
      </w:r>
      <w:r w:rsidR="002D7ACE" w:rsidRPr="00CE1271">
        <w:rPr>
          <w:rFonts w:hint="eastAsia"/>
          <w:sz w:val="22"/>
          <w:szCs w:val="22"/>
        </w:rPr>
        <w:t xml:space="preserve">, 14(20) </w:t>
      </w:r>
      <w:r w:rsidR="002D7ACE" w:rsidRPr="00CE1271">
        <w:rPr>
          <w:sz w:val="22"/>
          <w:szCs w:val="22"/>
        </w:rPr>
        <w:t>22889–22902</w:t>
      </w:r>
      <w:r w:rsidR="002D7ACE" w:rsidRPr="00CE1271">
        <w:rPr>
          <w:rFonts w:hint="eastAsia"/>
          <w:sz w:val="22"/>
          <w:szCs w:val="22"/>
        </w:rPr>
        <w:t xml:space="preserve">. </w:t>
      </w:r>
      <w:r w:rsidR="0021275E" w:rsidRPr="00CE1271">
        <w:rPr>
          <w:sz w:val="22"/>
          <w:szCs w:val="22"/>
        </w:rPr>
        <w:t>https://doi.org/10.1021/acsami.1c21038</w:t>
      </w:r>
    </w:p>
    <w:p w14:paraId="294E67CE" w14:textId="77777777" w:rsidR="009F5D56" w:rsidRPr="00CE1271" w:rsidRDefault="009F5D56">
      <w:pPr>
        <w:rPr>
          <w:sz w:val="22"/>
          <w:szCs w:val="22"/>
        </w:rPr>
      </w:pPr>
      <w:r w:rsidRPr="00CE1271">
        <w:rPr>
          <w:sz w:val="22"/>
          <w:szCs w:val="22"/>
        </w:rPr>
        <w:br w:type="page"/>
      </w:r>
    </w:p>
    <w:p w14:paraId="7C520EBA" w14:textId="4803ED79" w:rsidR="009F5D56" w:rsidRPr="00CE1271" w:rsidRDefault="00A60311" w:rsidP="009F5D56">
      <w:pPr>
        <w:spacing w:line="480" w:lineRule="auto"/>
        <w:jc w:val="center"/>
        <w:rPr>
          <w:sz w:val="22"/>
          <w:szCs w:val="22"/>
        </w:rPr>
      </w:pPr>
      <w:r w:rsidRPr="00CE1271">
        <w:rPr>
          <w:noProof/>
          <w:sz w:val="22"/>
          <w:szCs w:val="22"/>
        </w:rPr>
        <w:lastRenderedPageBreak/>
        <w:drawing>
          <wp:inline distT="0" distB="0" distL="0" distR="0" wp14:anchorId="59BA0369" wp14:editId="535C72D8">
            <wp:extent cx="2194560" cy="1600200"/>
            <wp:effectExtent l="0" t="0" r="0" b="0"/>
            <wp:docPr id="217203911" name="Picture 4" descr="A cartoon of a person using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203911" name="Picture 4" descr="A cartoon of a person using a computer&#10;&#10;AI-generated content may be incorrec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194560" cy="1600200"/>
                    </a:xfrm>
                    <a:prstGeom prst="rect">
                      <a:avLst/>
                    </a:prstGeom>
                  </pic:spPr>
                </pic:pic>
              </a:graphicData>
            </a:graphic>
          </wp:inline>
        </w:drawing>
      </w:r>
    </w:p>
    <w:p w14:paraId="38B87815" w14:textId="67B7AD69" w:rsidR="009F5D56" w:rsidRPr="00EC41DC" w:rsidRDefault="009F5D56" w:rsidP="009F5D56">
      <w:pPr>
        <w:spacing w:line="480" w:lineRule="auto"/>
        <w:jc w:val="center"/>
        <w:rPr>
          <w:b/>
          <w:bCs/>
          <w:sz w:val="22"/>
          <w:szCs w:val="22"/>
        </w:rPr>
      </w:pPr>
      <w:r w:rsidRPr="00CE1271">
        <w:rPr>
          <w:b/>
          <w:bCs/>
          <w:sz w:val="22"/>
          <w:szCs w:val="22"/>
        </w:rPr>
        <w:t>For Table of Contents Only</w:t>
      </w:r>
    </w:p>
    <w:p w14:paraId="6530ADE0" w14:textId="77777777" w:rsidR="009F5D56" w:rsidRPr="009C04FD" w:rsidRDefault="009F5D56" w:rsidP="00EC41DC">
      <w:pPr>
        <w:spacing w:line="480" w:lineRule="auto"/>
        <w:jc w:val="center"/>
        <w:rPr>
          <w:sz w:val="22"/>
          <w:szCs w:val="22"/>
        </w:rPr>
      </w:pPr>
    </w:p>
    <w:sectPr w:rsidR="009F5D56" w:rsidRPr="009C04FD" w:rsidSect="001A0398">
      <w:footerReference w:type="default" r:id="rId16"/>
      <w:pgSz w:w="12240" w:h="15840"/>
      <w:pgMar w:top="1985" w:right="1701" w:bottom="170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D1607" w14:textId="77777777" w:rsidR="001308CF" w:rsidRDefault="001308CF" w:rsidP="003F45EC">
      <w:pPr>
        <w:spacing w:after="0" w:line="240" w:lineRule="auto"/>
      </w:pPr>
      <w:r>
        <w:separator/>
      </w:r>
    </w:p>
  </w:endnote>
  <w:endnote w:type="continuationSeparator" w:id="0">
    <w:p w14:paraId="0D9B4DFA" w14:textId="77777777" w:rsidR="001308CF" w:rsidRDefault="001308CF" w:rsidP="003F45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w:altName w:val="Yu Gothic"/>
    <w:panose1 w:val="020B0400000000000000"/>
    <w:charset w:val="80"/>
    <w:family w:val="modern"/>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9592658"/>
      <w:docPartObj>
        <w:docPartGallery w:val="Page Numbers (Bottom of Page)"/>
        <w:docPartUnique/>
      </w:docPartObj>
    </w:sdtPr>
    <w:sdtEndPr>
      <w:rPr>
        <w:noProof/>
      </w:rPr>
    </w:sdtEndPr>
    <w:sdtContent>
      <w:p w14:paraId="673B6541" w14:textId="11A23CC7" w:rsidR="003A7553" w:rsidRDefault="003A7553">
        <w:pPr>
          <w:pStyle w:val="af2"/>
          <w:jc w:val="right"/>
        </w:pPr>
        <w:r>
          <w:fldChar w:fldCharType="begin"/>
        </w:r>
        <w:r>
          <w:instrText xml:space="preserve"> PAGE   \* MERGEFORMAT </w:instrText>
        </w:r>
        <w:r>
          <w:fldChar w:fldCharType="separate"/>
        </w:r>
        <w:r>
          <w:rPr>
            <w:noProof/>
          </w:rPr>
          <w:t>2</w:t>
        </w:r>
        <w:r>
          <w:rPr>
            <w:noProof/>
          </w:rPr>
          <w:fldChar w:fldCharType="end"/>
        </w:r>
      </w:p>
    </w:sdtContent>
  </w:sdt>
  <w:p w14:paraId="730CF272" w14:textId="77777777" w:rsidR="003A7553" w:rsidRDefault="003A7553">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8B121" w14:textId="77777777" w:rsidR="001308CF" w:rsidRDefault="001308CF" w:rsidP="003F45EC">
      <w:pPr>
        <w:spacing w:after="0" w:line="240" w:lineRule="auto"/>
      </w:pPr>
      <w:r>
        <w:separator/>
      </w:r>
    </w:p>
  </w:footnote>
  <w:footnote w:type="continuationSeparator" w:id="0">
    <w:p w14:paraId="540EE2CE" w14:textId="77777777" w:rsidR="001308CF" w:rsidRDefault="001308CF" w:rsidP="003F45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F1811"/>
    <w:multiLevelType w:val="hybridMultilevel"/>
    <w:tmpl w:val="4094FE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8AA72CD"/>
    <w:multiLevelType w:val="hybridMultilevel"/>
    <w:tmpl w:val="D14A8806"/>
    <w:lvl w:ilvl="0" w:tplc="26700102">
      <w:start w:val="4"/>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5335DAE"/>
    <w:multiLevelType w:val="hybridMultilevel"/>
    <w:tmpl w:val="DB60B4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ACA53C4"/>
    <w:multiLevelType w:val="hybridMultilevel"/>
    <w:tmpl w:val="A1D4BB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4C52D46"/>
    <w:multiLevelType w:val="hybridMultilevel"/>
    <w:tmpl w:val="44F6141C"/>
    <w:lvl w:ilvl="0" w:tplc="26700102">
      <w:start w:val="4"/>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1945BD3"/>
    <w:multiLevelType w:val="hybridMultilevel"/>
    <w:tmpl w:val="DA2430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46D2F36"/>
    <w:multiLevelType w:val="hybridMultilevel"/>
    <w:tmpl w:val="E482ED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C3A485B"/>
    <w:multiLevelType w:val="hybridMultilevel"/>
    <w:tmpl w:val="924CE0D2"/>
    <w:lvl w:ilvl="0" w:tplc="DD4C4A0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98247E0"/>
    <w:multiLevelType w:val="hybridMultilevel"/>
    <w:tmpl w:val="014045BC"/>
    <w:lvl w:ilvl="0" w:tplc="26700102">
      <w:start w:val="4"/>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24988383">
    <w:abstractNumId w:val="6"/>
  </w:num>
  <w:num w:numId="2" w16cid:durableId="691538995">
    <w:abstractNumId w:val="3"/>
  </w:num>
  <w:num w:numId="3" w16cid:durableId="1513492553">
    <w:abstractNumId w:val="8"/>
  </w:num>
  <w:num w:numId="4" w16cid:durableId="818351938">
    <w:abstractNumId w:val="0"/>
  </w:num>
  <w:num w:numId="5" w16cid:durableId="952173186">
    <w:abstractNumId w:val="7"/>
  </w:num>
  <w:num w:numId="6" w16cid:durableId="1772893195">
    <w:abstractNumId w:val="4"/>
  </w:num>
  <w:num w:numId="7" w16cid:durableId="1711412368">
    <w:abstractNumId w:val="1"/>
  </w:num>
  <w:num w:numId="8" w16cid:durableId="1863548046">
    <w:abstractNumId w:val="2"/>
  </w:num>
  <w:num w:numId="9" w16cid:durableId="8940518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E61"/>
    <w:rsid w:val="000073ED"/>
    <w:rsid w:val="00012B34"/>
    <w:rsid w:val="00014E8A"/>
    <w:rsid w:val="000214E9"/>
    <w:rsid w:val="00023ED6"/>
    <w:rsid w:val="00027C34"/>
    <w:rsid w:val="00042650"/>
    <w:rsid w:val="000434C9"/>
    <w:rsid w:val="0004358D"/>
    <w:rsid w:val="00044E49"/>
    <w:rsid w:val="00045DAD"/>
    <w:rsid w:val="0004683E"/>
    <w:rsid w:val="00047EC0"/>
    <w:rsid w:val="0006515C"/>
    <w:rsid w:val="0006557D"/>
    <w:rsid w:val="0007256C"/>
    <w:rsid w:val="000725DF"/>
    <w:rsid w:val="00077D84"/>
    <w:rsid w:val="00082F6E"/>
    <w:rsid w:val="0008346F"/>
    <w:rsid w:val="00085267"/>
    <w:rsid w:val="00096FF3"/>
    <w:rsid w:val="00097F15"/>
    <w:rsid w:val="000A461A"/>
    <w:rsid w:val="000A6B25"/>
    <w:rsid w:val="000A7DFD"/>
    <w:rsid w:val="000B14EC"/>
    <w:rsid w:val="000B54C9"/>
    <w:rsid w:val="000B774E"/>
    <w:rsid w:val="000C1E1A"/>
    <w:rsid w:val="000C2A21"/>
    <w:rsid w:val="000E5D64"/>
    <w:rsid w:val="000E726C"/>
    <w:rsid w:val="000E7417"/>
    <w:rsid w:val="000F1A8F"/>
    <w:rsid w:val="000F3DEF"/>
    <w:rsid w:val="000F4881"/>
    <w:rsid w:val="000F5759"/>
    <w:rsid w:val="000F7ABA"/>
    <w:rsid w:val="001054CC"/>
    <w:rsid w:val="00105E4F"/>
    <w:rsid w:val="00106F9A"/>
    <w:rsid w:val="001176E3"/>
    <w:rsid w:val="00122578"/>
    <w:rsid w:val="0012437D"/>
    <w:rsid w:val="00125113"/>
    <w:rsid w:val="0012666B"/>
    <w:rsid w:val="00127969"/>
    <w:rsid w:val="001308CF"/>
    <w:rsid w:val="00130A5D"/>
    <w:rsid w:val="001319EF"/>
    <w:rsid w:val="001322F0"/>
    <w:rsid w:val="00136B28"/>
    <w:rsid w:val="0015003C"/>
    <w:rsid w:val="00160A67"/>
    <w:rsid w:val="00160D52"/>
    <w:rsid w:val="001639ED"/>
    <w:rsid w:val="0016563D"/>
    <w:rsid w:val="00170E88"/>
    <w:rsid w:val="00175962"/>
    <w:rsid w:val="00183F88"/>
    <w:rsid w:val="00187F31"/>
    <w:rsid w:val="0019076B"/>
    <w:rsid w:val="001A0398"/>
    <w:rsid w:val="001A0BD9"/>
    <w:rsid w:val="001A0FC3"/>
    <w:rsid w:val="001A3B4C"/>
    <w:rsid w:val="001A799F"/>
    <w:rsid w:val="001B103E"/>
    <w:rsid w:val="001B7F47"/>
    <w:rsid w:val="001C08E0"/>
    <w:rsid w:val="001C36A4"/>
    <w:rsid w:val="001F07A9"/>
    <w:rsid w:val="001F46FC"/>
    <w:rsid w:val="001F6438"/>
    <w:rsid w:val="00210B17"/>
    <w:rsid w:val="0021275E"/>
    <w:rsid w:val="00220512"/>
    <w:rsid w:val="00221D24"/>
    <w:rsid w:val="00222513"/>
    <w:rsid w:val="00224E79"/>
    <w:rsid w:val="0023072E"/>
    <w:rsid w:val="002356A6"/>
    <w:rsid w:val="0023660B"/>
    <w:rsid w:val="00244764"/>
    <w:rsid w:val="00273F75"/>
    <w:rsid w:val="002865F7"/>
    <w:rsid w:val="00293006"/>
    <w:rsid w:val="00293CE9"/>
    <w:rsid w:val="00293D83"/>
    <w:rsid w:val="002A333B"/>
    <w:rsid w:val="002B0E57"/>
    <w:rsid w:val="002B106A"/>
    <w:rsid w:val="002C1558"/>
    <w:rsid w:val="002C24B1"/>
    <w:rsid w:val="002D088A"/>
    <w:rsid w:val="002D7594"/>
    <w:rsid w:val="002D7ACE"/>
    <w:rsid w:val="00314AA1"/>
    <w:rsid w:val="00316C9A"/>
    <w:rsid w:val="00317614"/>
    <w:rsid w:val="00321394"/>
    <w:rsid w:val="00327EB1"/>
    <w:rsid w:val="00337A42"/>
    <w:rsid w:val="0034057A"/>
    <w:rsid w:val="0035318E"/>
    <w:rsid w:val="003546F9"/>
    <w:rsid w:val="003547E2"/>
    <w:rsid w:val="003561F1"/>
    <w:rsid w:val="003A7553"/>
    <w:rsid w:val="003B257A"/>
    <w:rsid w:val="003B2EE5"/>
    <w:rsid w:val="003B324F"/>
    <w:rsid w:val="003B6110"/>
    <w:rsid w:val="003B7538"/>
    <w:rsid w:val="003C1745"/>
    <w:rsid w:val="003D747E"/>
    <w:rsid w:val="003E4A49"/>
    <w:rsid w:val="003F45EC"/>
    <w:rsid w:val="003F47B2"/>
    <w:rsid w:val="003F672B"/>
    <w:rsid w:val="004107E6"/>
    <w:rsid w:val="00412BF1"/>
    <w:rsid w:val="0041494F"/>
    <w:rsid w:val="00422BEC"/>
    <w:rsid w:val="004252F3"/>
    <w:rsid w:val="0043056F"/>
    <w:rsid w:val="00435988"/>
    <w:rsid w:val="00437568"/>
    <w:rsid w:val="00440669"/>
    <w:rsid w:val="00443DD0"/>
    <w:rsid w:val="00452ED6"/>
    <w:rsid w:val="00453BE8"/>
    <w:rsid w:val="004550C6"/>
    <w:rsid w:val="00463117"/>
    <w:rsid w:val="00465156"/>
    <w:rsid w:val="0046722B"/>
    <w:rsid w:val="00470906"/>
    <w:rsid w:val="0047172D"/>
    <w:rsid w:val="004725D8"/>
    <w:rsid w:val="004762CE"/>
    <w:rsid w:val="004A3203"/>
    <w:rsid w:val="004A6654"/>
    <w:rsid w:val="004B3F87"/>
    <w:rsid w:val="004B534D"/>
    <w:rsid w:val="004C3135"/>
    <w:rsid w:val="004D487B"/>
    <w:rsid w:val="004D66B8"/>
    <w:rsid w:val="004E70D1"/>
    <w:rsid w:val="004F15E2"/>
    <w:rsid w:val="004F6AB1"/>
    <w:rsid w:val="005017C3"/>
    <w:rsid w:val="00502E88"/>
    <w:rsid w:val="005030E5"/>
    <w:rsid w:val="00506300"/>
    <w:rsid w:val="00516315"/>
    <w:rsid w:val="00521064"/>
    <w:rsid w:val="005224FC"/>
    <w:rsid w:val="005337EB"/>
    <w:rsid w:val="005374AF"/>
    <w:rsid w:val="005377D0"/>
    <w:rsid w:val="00540F95"/>
    <w:rsid w:val="00550BA2"/>
    <w:rsid w:val="005567BB"/>
    <w:rsid w:val="00556AD7"/>
    <w:rsid w:val="0056129C"/>
    <w:rsid w:val="005645DF"/>
    <w:rsid w:val="005662B7"/>
    <w:rsid w:val="0057024F"/>
    <w:rsid w:val="00570C4B"/>
    <w:rsid w:val="00570D92"/>
    <w:rsid w:val="005711FF"/>
    <w:rsid w:val="005723DA"/>
    <w:rsid w:val="00576B24"/>
    <w:rsid w:val="00581B7D"/>
    <w:rsid w:val="0058590C"/>
    <w:rsid w:val="00592FF7"/>
    <w:rsid w:val="005A10FC"/>
    <w:rsid w:val="005A757A"/>
    <w:rsid w:val="005B0F4B"/>
    <w:rsid w:val="005B5CFB"/>
    <w:rsid w:val="005C10DE"/>
    <w:rsid w:val="005D0E06"/>
    <w:rsid w:val="005D47A3"/>
    <w:rsid w:val="005D4CEF"/>
    <w:rsid w:val="005E4A9D"/>
    <w:rsid w:val="005E755A"/>
    <w:rsid w:val="005F0583"/>
    <w:rsid w:val="005F36C5"/>
    <w:rsid w:val="005F5015"/>
    <w:rsid w:val="005F6F8B"/>
    <w:rsid w:val="005F7713"/>
    <w:rsid w:val="00604A4A"/>
    <w:rsid w:val="00616156"/>
    <w:rsid w:val="00616516"/>
    <w:rsid w:val="00622984"/>
    <w:rsid w:val="0062596A"/>
    <w:rsid w:val="00630042"/>
    <w:rsid w:val="0063616A"/>
    <w:rsid w:val="0063766F"/>
    <w:rsid w:val="00637B6C"/>
    <w:rsid w:val="00641F9F"/>
    <w:rsid w:val="00642CB3"/>
    <w:rsid w:val="00643825"/>
    <w:rsid w:val="00644842"/>
    <w:rsid w:val="00654754"/>
    <w:rsid w:val="006575C9"/>
    <w:rsid w:val="00666C1A"/>
    <w:rsid w:val="00667280"/>
    <w:rsid w:val="0067334D"/>
    <w:rsid w:val="00680DBB"/>
    <w:rsid w:val="0068442A"/>
    <w:rsid w:val="00687098"/>
    <w:rsid w:val="0069398C"/>
    <w:rsid w:val="0069772A"/>
    <w:rsid w:val="006A118D"/>
    <w:rsid w:val="006A2831"/>
    <w:rsid w:val="006A3B81"/>
    <w:rsid w:val="006A4798"/>
    <w:rsid w:val="006B08DC"/>
    <w:rsid w:val="006B2762"/>
    <w:rsid w:val="006C753C"/>
    <w:rsid w:val="006E60BC"/>
    <w:rsid w:val="006F3588"/>
    <w:rsid w:val="006F3DC5"/>
    <w:rsid w:val="006F4F52"/>
    <w:rsid w:val="006F4F8B"/>
    <w:rsid w:val="006F56F8"/>
    <w:rsid w:val="006F6F48"/>
    <w:rsid w:val="006F70B9"/>
    <w:rsid w:val="00712E7F"/>
    <w:rsid w:val="007141BB"/>
    <w:rsid w:val="00716889"/>
    <w:rsid w:val="00723112"/>
    <w:rsid w:val="00726768"/>
    <w:rsid w:val="0073311A"/>
    <w:rsid w:val="0073340E"/>
    <w:rsid w:val="00736F47"/>
    <w:rsid w:val="007415BC"/>
    <w:rsid w:val="00741EC5"/>
    <w:rsid w:val="00750F87"/>
    <w:rsid w:val="00751FCE"/>
    <w:rsid w:val="00761AD7"/>
    <w:rsid w:val="00762C1E"/>
    <w:rsid w:val="007724F9"/>
    <w:rsid w:val="0078004C"/>
    <w:rsid w:val="00780B26"/>
    <w:rsid w:val="00784BA2"/>
    <w:rsid w:val="0078542B"/>
    <w:rsid w:val="00787737"/>
    <w:rsid w:val="00787B72"/>
    <w:rsid w:val="00790050"/>
    <w:rsid w:val="00793059"/>
    <w:rsid w:val="007A0124"/>
    <w:rsid w:val="007A3BE9"/>
    <w:rsid w:val="007A60D4"/>
    <w:rsid w:val="007B35FC"/>
    <w:rsid w:val="007B71E9"/>
    <w:rsid w:val="007B747C"/>
    <w:rsid w:val="007C3C50"/>
    <w:rsid w:val="007C5B97"/>
    <w:rsid w:val="007D17BC"/>
    <w:rsid w:val="007D2F38"/>
    <w:rsid w:val="007D3A78"/>
    <w:rsid w:val="007D705F"/>
    <w:rsid w:val="007E0D2C"/>
    <w:rsid w:val="007E0EBE"/>
    <w:rsid w:val="007E5653"/>
    <w:rsid w:val="007E62F6"/>
    <w:rsid w:val="007F5F07"/>
    <w:rsid w:val="007F69CE"/>
    <w:rsid w:val="00805690"/>
    <w:rsid w:val="008057E4"/>
    <w:rsid w:val="00806240"/>
    <w:rsid w:val="008115F8"/>
    <w:rsid w:val="008179A8"/>
    <w:rsid w:val="0082053B"/>
    <w:rsid w:val="00825071"/>
    <w:rsid w:val="0083190F"/>
    <w:rsid w:val="00833C22"/>
    <w:rsid w:val="008444B5"/>
    <w:rsid w:val="008451FE"/>
    <w:rsid w:val="008453C1"/>
    <w:rsid w:val="008549CE"/>
    <w:rsid w:val="00854C6A"/>
    <w:rsid w:val="00854E60"/>
    <w:rsid w:val="00854E7E"/>
    <w:rsid w:val="0085505B"/>
    <w:rsid w:val="00861F87"/>
    <w:rsid w:val="008633A0"/>
    <w:rsid w:val="00865D1D"/>
    <w:rsid w:val="00873780"/>
    <w:rsid w:val="0088194C"/>
    <w:rsid w:val="008843F0"/>
    <w:rsid w:val="00885948"/>
    <w:rsid w:val="008962E8"/>
    <w:rsid w:val="00896EC9"/>
    <w:rsid w:val="008A0441"/>
    <w:rsid w:val="008B0B48"/>
    <w:rsid w:val="008B3C02"/>
    <w:rsid w:val="008C09F2"/>
    <w:rsid w:val="008C3E31"/>
    <w:rsid w:val="008C53FB"/>
    <w:rsid w:val="008C7896"/>
    <w:rsid w:val="008D0CB0"/>
    <w:rsid w:val="008D4F0F"/>
    <w:rsid w:val="008D7AB4"/>
    <w:rsid w:val="008D7B09"/>
    <w:rsid w:val="008E298F"/>
    <w:rsid w:val="008F2D1B"/>
    <w:rsid w:val="00901F83"/>
    <w:rsid w:val="00910654"/>
    <w:rsid w:val="00911577"/>
    <w:rsid w:val="00914A10"/>
    <w:rsid w:val="0091587D"/>
    <w:rsid w:val="00915F43"/>
    <w:rsid w:val="0092705B"/>
    <w:rsid w:val="0092757F"/>
    <w:rsid w:val="009438BD"/>
    <w:rsid w:val="00947135"/>
    <w:rsid w:val="00952E62"/>
    <w:rsid w:val="00963E67"/>
    <w:rsid w:val="0096420C"/>
    <w:rsid w:val="00973D6B"/>
    <w:rsid w:val="00980568"/>
    <w:rsid w:val="009906EE"/>
    <w:rsid w:val="009A5FEF"/>
    <w:rsid w:val="009B0C81"/>
    <w:rsid w:val="009B5BE7"/>
    <w:rsid w:val="009B67B8"/>
    <w:rsid w:val="009C04FD"/>
    <w:rsid w:val="009C1350"/>
    <w:rsid w:val="009C1BB4"/>
    <w:rsid w:val="009C738E"/>
    <w:rsid w:val="009D03AE"/>
    <w:rsid w:val="009D202A"/>
    <w:rsid w:val="009D5B0B"/>
    <w:rsid w:val="009D7BBC"/>
    <w:rsid w:val="009E2496"/>
    <w:rsid w:val="009F5D56"/>
    <w:rsid w:val="00A0252B"/>
    <w:rsid w:val="00A06AB2"/>
    <w:rsid w:val="00A13AC7"/>
    <w:rsid w:val="00A17AAC"/>
    <w:rsid w:val="00A24D2C"/>
    <w:rsid w:val="00A26D4B"/>
    <w:rsid w:val="00A42B33"/>
    <w:rsid w:val="00A452EB"/>
    <w:rsid w:val="00A60311"/>
    <w:rsid w:val="00A67B60"/>
    <w:rsid w:val="00A731DE"/>
    <w:rsid w:val="00A82042"/>
    <w:rsid w:val="00A857FA"/>
    <w:rsid w:val="00A941B9"/>
    <w:rsid w:val="00A97297"/>
    <w:rsid w:val="00AA4C07"/>
    <w:rsid w:val="00AA78EF"/>
    <w:rsid w:val="00AB0135"/>
    <w:rsid w:val="00AB01B1"/>
    <w:rsid w:val="00AB48CF"/>
    <w:rsid w:val="00AB5BB9"/>
    <w:rsid w:val="00AD2C98"/>
    <w:rsid w:val="00AD47EA"/>
    <w:rsid w:val="00AE6EB2"/>
    <w:rsid w:val="00AF634B"/>
    <w:rsid w:val="00B01E59"/>
    <w:rsid w:val="00B03ADA"/>
    <w:rsid w:val="00B0490E"/>
    <w:rsid w:val="00B068C9"/>
    <w:rsid w:val="00B07ACB"/>
    <w:rsid w:val="00B16D7E"/>
    <w:rsid w:val="00B201AB"/>
    <w:rsid w:val="00B21455"/>
    <w:rsid w:val="00B216D0"/>
    <w:rsid w:val="00B44160"/>
    <w:rsid w:val="00B45536"/>
    <w:rsid w:val="00B4593A"/>
    <w:rsid w:val="00B46C31"/>
    <w:rsid w:val="00B50423"/>
    <w:rsid w:val="00B60F8D"/>
    <w:rsid w:val="00B65BDC"/>
    <w:rsid w:val="00B75BC1"/>
    <w:rsid w:val="00B83CB3"/>
    <w:rsid w:val="00B9230E"/>
    <w:rsid w:val="00BB0946"/>
    <w:rsid w:val="00BB1CE2"/>
    <w:rsid w:val="00BB2E1C"/>
    <w:rsid w:val="00BB4E61"/>
    <w:rsid w:val="00BB6639"/>
    <w:rsid w:val="00BF4844"/>
    <w:rsid w:val="00C023DF"/>
    <w:rsid w:val="00C027BF"/>
    <w:rsid w:val="00C03139"/>
    <w:rsid w:val="00C11908"/>
    <w:rsid w:val="00C14D5C"/>
    <w:rsid w:val="00C16D0F"/>
    <w:rsid w:val="00C1791D"/>
    <w:rsid w:val="00C255BF"/>
    <w:rsid w:val="00C31D7D"/>
    <w:rsid w:val="00C3494F"/>
    <w:rsid w:val="00C37F98"/>
    <w:rsid w:val="00C411AE"/>
    <w:rsid w:val="00C47CF1"/>
    <w:rsid w:val="00C51260"/>
    <w:rsid w:val="00C52C4A"/>
    <w:rsid w:val="00C53AB0"/>
    <w:rsid w:val="00C60B05"/>
    <w:rsid w:val="00C63338"/>
    <w:rsid w:val="00C6740C"/>
    <w:rsid w:val="00C700AE"/>
    <w:rsid w:val="00C7129B"/>
    <w:rsid w:val="00C75492"/>
    <w:rsid w:val="00C77FDE"/>
    <w:rsid w:val="00CA0512"/>
    <w:rsid w:val="00CA45DA"/>
    <w:rsid w:val="00CA4B19"/>
    <w:rsid w:val="00CA57EF"/>
    <w:rsid w:val="00CB5977"/>
    <w:rsid w:val="00CB66AD"/>
    <w:rsid w:val="00CB78CE"/>
    <w:rsid w:val="00CC0D33"/>
    <w:rsid w:val="00CC32F5"/>
    <w:rsid w:val="00CD7408"/>
    <w:rsid w:val="00CE1271"/>
    <w:rsid w:val="00CE3E9A"/>
    <w:rsid w:val="00CF072D"/>
    <w:rsid w:val="00D00C81"/>
    <w:rsid w:val="00D02BEA"/>
    <w:rsid w:val="00D10E4C"/>
    <w:rsid w:val="00D151E8"/>
    <w:rsid w:val="00D22C2C"/>
    <w:rsid w:val="00D24EF8"/>
    <w:rsid w:val="00D323B8"/>
    <w:rsid w:val="00D34826"/>
    <w:rsid w:val="00D45899"/>
    <w:rsid w:val="00D47A3F"/>
    <w:rsid w:val="00D47FF2"/>
    <w:rsid w:val="00D5633E"/>
    <w:rsid w:val="00D60B8B"/>
    <w:rsid w:val="00D61075"/>
    <w:rsid w:val="00D65240"/>
    <w:rsid w:val="00D66BC3"/>
    <w:rsid w:val="00D75A26"/>
    <w:rsid w:val="00D76D81"/>
    <w:rsid w:val="00D97687"/>
    <w:rsid w:val="00DA02A6"/>
    <w:rsid w:val="00DA1306"/>
    <w:rsid w:val="00DA2E53"/>
    <w:rsid w:val="00DA54D8"/>
    <w:rsid w:val="00DA697A"/>
    <w:rsid w:val="00DB1538"/>
    <w:rsid w:val="00DB1AE2"/>
    <w:rsid w:val="00DB5C48"/>
    <w:rsid w:val="00DC63DA"/>
    <w:rsid w:val="00DD6715"/>
    <w:rsid w:val="00DD753B"/>
    <w:rsid w:val="00DE09E5"/>
    <w:rsid w:val="00DE1B15"/>
    <w:rsid w:val="00DE7249"/>
    <w:rsid w:val="00DF4332"/>
    <w:rsid w:val="00DF6A78"/>
    <w:rsid w:val="00E013A5"/>
    <w:rsid w:val="00E0229D"/>
    <w:rsid w:val="00E12FF4"/>
    <w:rsid w:val="00E134CF"/>
    <w:rsid w:val="00E22581"/>
    <w:rsid w:val="00E25E28"/>
    <w:rsid w:val="00E2724E"/>
    <w:rsid w:val="00E338EE"/>
    <w:rsid w:val="00E375B3"/>
    <w:rsid w:val="00E62A0A"/>
    <w:rsid w:val="00E71212"/>
    <w:rsid w:val="00E7186F"/>
    <w:rsid w:val="00E72DB0"/>
    <w:rsid w:val="00E81F1A"/>
    <w:rsid w:val="00E86E67"/>
    <w:rsid w:val="00E916A3"/>
    <w:rsid w:val="00E96B46"/>
    <w:rsid w:val="00EA27FC"/>
    <w:rsid w:val="00EA6811"/>
    <w:rsid w:val="00EB0529"/>
    <w:rsid w:val="00EB1048"/>
    <w:rsid w:val="00EB2A5F"/>
    <w:rsid w:val="00EB67F6"/>
    <w:rsid w:val="00EC0287"/>
    <w:rsid w:val="00EC0823"/>
    <w:rsid w:val="00EC41DC"/>
    <w:rsid w:val="00ED757A"/>
    <w:rsid w:val="00EE03E9"/>
    <w:rsid w:val="00EE6B1B"/>
    <w:rsid w:val="00EE7367"/>
    <w:rsid w:val="00F05C0D"/>
    <w:rsid w:val="00F1304C"/>
    <w:rsid w:val="00F144C3"/>
    <w:rsid w:val="00F15F3F"/>
    <w:rsid w:val="00F37300"/>
    <w:rsid w:val="00F401F8"/>
    <w:rsid w:val="00F420BF"/>
    <w:rsid w:val="00F422D5"/>
    <w:rsid w:val="00F42307"/>
    <w:rsid w:val="00F44DAE"/>
    <w:rsid w:val="00F4507B"/>
    <w:rsid w:val="00F479CF"/>
    <w:rsid w:val="00F50B43"/>
    <w:rsid w:val="00F65A99"/>
    <w:rsid w:val="00F72D8C"/>
    <w:rsid w:val="00F8081F"/>
    <w:rsid w:val="00F86F63"/>
    <w:rsid w:val="00F87510"/>
    <w:rsid w:val="00F96310"/>
    <w:rsid w:val="00F97B31"/>
    <w:rsid w:val="00F97BA2"/>
    <w:rsid w:val="00FA008C"/>
    <w:rsid w:val="00FA2A70"/>
    <w:rsid w:val="00FA3A35"/>
    <w:rsid w:val="00FA423B"/>
    <w:rsid w:val="00FA75B9"/>
    <w:rsid w:val="00FA7F0B"/>
    <w:rsid w:val="00FB20DB"/>
    <w:rsid w:val="00FB6865"/>
    <w:rsid w:val="00FC3D59"/>
    <w:rsid w:val="00FD00A1"/>
    <w:rsid w:val="00FD76E6"/>
    <w:rsid w:val="00FD7FF1"/>
    <w:rsid w:val="00FE045D"/>
    <w:rsid w:val="00FE3C5D"/>
    <w:rsid w:val="00FE4F81"/>
    <w:rsid w:val="00FF100D"/>
    <w:rsid w:val="00FF3DC7"/>
    <w:rsid w:val="00FF742C"/>
    <w:rsid w:val="00FF77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F73441"/>
  <w15:chartTrackingRefBased/>
  <w15:docId w15:val="{455043F8-AB7D-4DA2-97E9-95B8FCC64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kern w:val="2"/>
        <w:sz w:val="24"/>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B4E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BB4E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B4E6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4">
    <w:name w:val="heading 4"/>
    <w:basedOn w:val="a"/>
    <w:next w:val="a"/>
    <w:link w:val="40"/>
    <w:uiPriority w:val="9"/>
    <w:semiHidden/>
    <w:unhideWhenUsed/>
    <w:qFormat/>
    <w:rsid w:val="00BB4E6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5">
    <w:name w:val="heading 5"/>
    <w:basedOn w:val="a"/>
    <w:next w:val="a"/>
    <w:link w:val="50"/>
    <w:uiPriority w:val="9"/>
    <w:semiHidden/>
    <w:unhideWhenUsed/>
    <w:qFormat/>
    <w:rsid w:val="00BB4E61"/>
    <w:pPr>
      <w:keepNext/>
      <w:keepLines/>
      <w:spacing w:before="80" w:after="40"/>
      <w:outlineLvl w:val="4"/>
    </w:pPr>
    <w:rPr>
      <w:rFonts w:asciiTheme="minorHAnsi" w:eastAsiaTheme="majorEastAsia" w:hAnsiTheme="minorHAnsi" w:cstheme="majorBidi"/>
      <w:color w:val="0F4761" w:themeColor="accent1" w:themeShade="BF"/>
    </w:rPr>
  </w:style>
  <w:style w:type="paragraph" w:styleId="6">
    <w:name w:val="heading 6"/>
    <w:basedOn w:val="a"/>
    <w:next w:val="a"/>
    <w:link w:val="60"/>
    <w:uiPriority w:val="9"/>
    <w:semiHidden/>
    <w:unhideWhenUsed/>
    <w:qFormat/>
    <w:rsid w:val="00BB4E61"/>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BB4E61"/>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BB4E61"/>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BB4E61"/>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B4E61"/>
    <w:rPr>
      <w:rFonts w:asciiTheme="majorHAnsi" w:eastAsiaTheme="majorEastAsia" w:hAnsiTheme="majorHAnsi" w:cstheme="majorBidi"/>
      <w:color w:val="0F4761" w:themeColor="accent1" w:themeShade="BF"/>
      <w:sz w:val="40"/>
      <w:szCs w:val="40"/>
    </w:rPr>
  </w:style>
  <w:style w:type="character" w:customStyle="1" w:styleId="20">
    <w:name w:val="見出し 2 (文字)"/>
    <w:basedOn w:val="a0"/>
    <w:link w:val="2"/>
    <w:uiPriority w:val="9"/>
    <w:semiHidden/>
    <w:rsid w:val="00BB4E61"/>
    <w:rPr>
      <w:rFonts w:asciiTheme="majorHAnsi" w:eastAsiaTheme="majorEastAsia" w:hAnsiTheme="majorHAnsi" w:cstheme="majorBidi"/>
      <w:color w:val="0F4761" w:themeColor="accent1" w:themeShade="BF"/>
      <w:sz w:val="32"/>
      <w:szCs w:val="32"/>
    </w:rPr>
  </w:style>
  <w:style w:type="character" w:customStyle="1" w:styleId="30">
    <w:name w:val="見出し 3 (文字)"/>
    <w:basedOn w:val="a0"/>
    <w:link w:val="3"/>
    <w:uiPriority w:val="9"/>
    <w:semiHidden/>
    <w:rsid w:val="00BB4E61"/>
    <w:rPr>
      <w:rFonts w:asciiTheme="minorHAnsi" w:eastAsiaTheme="majorEastAsia" w:hAnsiTheme="minorHAnsi" w:cstheme="majorBidi"/>
      <w:color w:val="0F4761" w:themeColor="accent1" w:themeShade="BF"/>
      <w:sz w:val="28"/>
      <w:szCs w:val="28"/>
    </w:rPr>
  </w:style>
  <w:style w:type="character" w:customStyle="1" w:styleId="40">
    <w:name w:val="見出し 4 (文字)"/>
    <w:basedOn w:val="a0"/>
    <w:link w:val="4"/>
    <w:uiPriority w:val="9"/>
    <w:semiHidden/>
    <w:rsid w:val="00BB4E61"/>
    <w:rPr>
      <w:rFonts w:asciiTheme="minorHAnsi" w:eastAsiaTheme="majorEastAsia" w:hAnsiTheme="minorHAnsi" w:cstheme="majorBidi"/>
      <w:i/>
      <w:iCs/>
      <w:color w:val="0F4761" w:themeColor="accent1" w:themeShade="BF"/>
    </w:rPr>
  </w:style>
  <w:style w:type="character" w:customStyle="1" w:styleId="50">
    <w:name w:val="見出し 5 (文字)"/>
    <w:basedOn w:val="a0"/>
    <w:link w:val="5"/>
    <w:uiPriority w:val="9"/>
    <w:semiHidden/>
    <w:rsid w:val="00BB4E61"/>
    <w:rPr>
      <w:rFonts w:asciiTheme="minorHAnsi" w:eastAsiaTheme="majorEastAsia" w:hAnsiTheme="minorHAnsi" w:cstheme="majorBidi"/>
      <w:color w:val="0F4761" w:themeColor="accent1" w:themeShade="BF"/>
    </w:rPr>
  </w:style>
  <w:style w:type="character" w:customStyle="1" w:styleId="60">
    <w:name w:val="見出し 6 (文字)"/>
    <w:basedOn w:val="a0"/>
    <w:link w:val="6"/>
    <w:uiPriority w:val="9"/>
    <w:semiHidden/>
    <w:rsid w:val="00BB4E61"/>
    <w:rPr>
      <w:rFonts w:asciiTheme="minorHAnsi" w:eastAsiaTheme="majorEastAsia" w:hAnsiTheme="minorHAnsi" w:cstheme="majorBidi"/>
      <w:i/>
      <w:iCs/>
      <w:color w:val="595959" w:themeColor="text1" w:themeTint="A6"/>
    </w:rPr>
  </w:style>
  <w:style w:type="character" w:customStyle="1" w:styleId="70">
    <w:name w:val="見出し 7 (文字)"/>
    <w:basedOn w:val="a0"/>
    <w:link w:val="7"/>
    <w:uiPriority w:val="9"/>
    <w:semiHidden/>
    <w:rsid w:val="00BB4E61"/>
    <w:rPr>
      <w:rFonts w:asciiTheme="minorHAnsi" w:eastAsiaTheme="majorEastAsia" w:hAnsiTheme="minorHAnsi" w:cstheme="majorBidi"/>
      <w:color w:val="595959" w:themeColor="text1" w:themeTint="A6"/>
    </w:rPr>
  </w:style>
  <w:style w:type="character" w:customStyle="1" w:styleId="80">
    <w:name w:val="見出し 8 (文字)"/>
    <w:basedOn w:val="a0"/>
    <w:link w:val="8"/>
    <w:uiPriority w:val="9"/>
    <w:semiHidden/>
    <w:rsid w:val="00BB4E61"/>
    <w:rPr>
      <w:rFonts w:asciiTheme="minorHAnsi" w:eastAsiaTheme="majorEastAsia" w:hAnsiTheme="minorHAnsi" w:cstheme="majorBidi"/>
      <w:i/>
      <w:iCs/>
      <w:color w:val="272727" w:themeColor="text1" w:themeTint="D8"/>
    </w:rPr>
  </w:style>
  <w:style w:type="character" w:customStyle="1" w:styleId="90">
    <w:name w:val="見出し 9 (文字)"/>
    <w:basedOn w:val="a0"/>
    <w:link w:val="9"/>
    <w:uiPriority w:val="9"/>
    <w:semiHidden/>
    <w:rsid w:val="00BB4E61"/>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BB4E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B4E6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B4E6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6">
    <w:name w:val="副題 (文字)"/>
    <w:basedOn w:val="a0"/>
    <w:link w:val="a5"/>
    <w:uiPriority w:val="11"/>
    <w:rsid w:val="00BB4E61"/>
    <w:rPr>
      <w:rFonts w:asciiTheme="minorHAnsi" w:eastAsiaTheme="majorEastAsia" w:hAnsiTheme="minorHAnsi" w:cstheme="majorBidi"/>
      <w:color w:val="595959" w:themeColor="text1" w:themeTint="A6"/>
      <w:spacing w:val="15"/>
      <w:sz w:val="28"/>
      <w:szCs w:val="28"/>
    </w:rPr>
  </w:style>
  <w:style w:type="paragraph" w:styleId="a7">
    <w:name w:val="Quote"/>
    <w:basedOn w:val="a"/>
    <w:next w:val="a"/>
    <w:link w:val="a8"/>
    <w:uiPriority w:val="29"/>
    <w:qFormat/>
    <w:rsid w:val="00BB4E61"/>
    <w:pPr>
      <w:spacing w:before="160"/>
      <w:jc w:val="center"/>
    </w:pPr>
    <w:rPr>
      <w:i/>
      <w:iCs/>
      <w:color w:val="404040" w:themeColor="text1" w:themeTint="BF"/>
    </w:rPr>
  </w:style>
  <w:style w:type="character" w:customStyle="1" w:styleId="a8">
    <w:name w:val="引用文 (文字)"/>
    <w:basedOn w:val="a0"/>
    <w:link w:val="a7"/>
    <w:uiPriority w:val="29"/>
    <w:rsid w:val="00BB4E61"/>
    <w:rPr>
      <w:i/>
      <w:iCs/>
      <w:color w:val="404040" w:themeColor="text1" w:themeTint="BF"/>
    </w:rPr>
  </w:style>
  <w:style w:type="paragraph" w:styleId="a9">
    <w:name w:val="List Paragraph"/>
    <w:basedOn w:val="a"/>
    <w:uiPriority w:val="34"/>
    <w:qFormat/>
    <w:rsid w:val="00BB4E61"/>
    <w:pPr>
      <w:ind w:left="720"/>
      <w:contextualSpacing/>
    </w:pPr>
  </w:style>
  <w:style w:type="character" w:styleId="21">
    <w:name w:val="Intense Emphasis"/>
    <w:basedOn w:val="a0"/>
    <w:uiPriority w:val="21"/>
    <w:qFormat/>
    <w:rsid w:val="00BB4E61"/>
    <w:rPr>
      <w:i/>
      <w:iCs/>
      <w:color w:val="0F4761" w:themeColor="accent1" w:themeShade="BF"/>
    </w:rPr>
  </w:style>
  <w:style w:type="paragraph" w:styleId="22">
    <w:name w:val="Intense Quote"/>
    <w:basedOn w:val="a"/>
    <w:next w:val="a"/>
    <w:link w:val="23"/>
    <w:uiPriority w:val="30"/>
    <w:qFormat/>
    <w:rsid w:val="00BB4E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B4E61"/>
    <w:rPr>
      <w:i/>
      <w:iCs/>
      <w:color w:val="0F4761" w:themeColor="accent1" w:themeShade="BF"/>
    </w:rPr>
  </w:style>
  <w:style w:type="character" w:styleId="24">
    <w:name w:val="Intense Reference"/>
    <w:basedOn w:val="a0"/>
    <w:uiPriority w:val="32"/>
    <w:qFormat/>
    <w:rsid w:val="00BB4E61"/>
    <w:rPr>
      <w:b/>
      <w:bCs/>
      <w:smallCaps/>
      <w:color w:val="0F4761" w:themeColor="accent1" w:themeShade="BF"/>
      <w:spacing w:val="5"/>
    </w:rPr>
  </w:style>
  <w:style w:type="character" w:styleId="aa">
    <w:name w:val="annotation reference"/>
    <w:basedOn w:val="a0"/>
    <w:uiPriority w:val="99"/>
    <w:semiHidden/>
    <w:unhideWhenUsed/>
    <w:rsid w:val="0023660B"/>
    <w:rPr>
      <w:sz w:val="16"/>
      <w:szCs w:val="16"/>
    </w:rPr>
  </w:style>
  <w:style w:type="paragraph" w:styleId="ab">
    <w:name w:val="annotation text"/>
    <w:basedOn w:val="a"/>
    <w:link w:val="ac"/>
    <w:uiPriority w:val="99"/>
    <w:unhideWhenUsed/>
    <w:rsid w:val="0023660B"/>
    <w:pPr>
      <w:spacing w:line="240" w:lineRule="auto"/>
    </w:pPr>
    <w:rPr>
      <w:sz w:val="20"/>
      <w:szCs w:val="20"/>
    </w:rPr>
  </w:style>
  <w:style w:type="character" w:customStyle="1" w:styleId="ac">
    <w:name w:val="コメント文字列 (文字)"/>
    <w:basedOn w:val="a0"/>
    <w:link w:val="ab"/>
    <w:uiPriority w:val="99"/>
    <w:rsid w:val="0023660B"/>
    <w:rPr>
      <w:sz w:val="20"/>
      <w:szCs w:val="20"/>
    </w:rPr>
  </w:style>
  <w:style w:type="paragraph" w:styleId="ad">
    <w:name w:val="annotation subject"/>
    <w:basedOn w:val="ab"/>
    <w:next w:val="ab"/>
    <w:link w:val="ae"/>
    <w:uiPriority w:val="99"/>
    <w:semiHidden/>
    <w:unhideWhenUsed/>
    <w:rsid w:val="0023660B"/>
    <w:rPr>
      <w:b/>
      <w:bCs/>
    </w:rPr>
  </w:style>
  <w:style w:type="character" w:customStyle="1" w:styleId="ae">
    <w:name w:val="コメント内容 (文字)"/>
    <w:basedOn w:val="ac"/>
    <w:link w:val="ad"/>
    <w:uiPriority w:val="99"/>
    <w:semiHidden/>
    <w:rsid w:val="0023660B"/>
    <w:rPr>
      <w:b/>
      <w:bCs/>
      <w:sz w:val="20"/>
      <w:szCs w:val="20"/>
    </w:rPr>
  </w:style>
  <w:style w:type="table" w:styleId="af">
    <w:name w:val="Table Grid"/>
    <w:basedOn w:val="a1"/>
    <w:uiPriority w:val="39"/>
    <w:rsid w:val="00B65B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
    <w:link w:val="af1"/>
    <w:uiPriority w:val="99"/>
    <w:unhideWhenUsed/>
    <w:rsid w:val="003F45EC"/>
    <w:pPr>
      <w:tabs>
        <w:tab w:val="center" w:pos="4419"/>
        <w:tab w:val="right" w:pos="8838"/>
      </w:tabs>
      <w:spacing w:after="0" w:line="240" w:lineRule="auto"/>
    </w:pPr>
  </w:style>
  <w:style w:type="character" w:customStyle="1" w:styleId="af1">
    <w:name w:val="ヘッダー (文字)"/>
    <w:basedOn w:val="a0"/>
    <w:link w:val="af0"/>
    <w:uiPriority w:val="99"/>
    <w:rsid w:val="003F45EC"/>
  </w:style>
  <w:style w:type="paragraph" w:styleId="af2">
    <w:name w:val="footer"/>
    <w:basedOn w:val="a"/>
    <w:link w:val="af3"/>
    <w:uiPriority w:val="99"/>
    <w:unhideWhenUsed/>
    <w:rsid w:val="003F45EC"/>
    <w:pPr>
      <w:tabs>
        <w:tab w:val="center" w:pos="4419"/>
        <w:tab w:val="right" w:pos="8838"/>
      </w:tabs>
      <w:spacing w:after="0" w:line="240" w:lineRule="auto"/>
    </w:pPr>
  </w:style>
  <w:style w:type="character" w:customStyle="1" w:styleId="af3">
    <w:name w:val="フッター (文字)"/>
    <w:basedOn w:val="a0"/>
    <w:link w:val="af2"/>
    <w:uiPriority w:val="99"/>
    <w:rsid w:val="003F45EC"/>
  </w:style>
  <w:style w:type="paragraph" w:styleId="Web">
    <w:name w:val="Normal (Web)"/>
    <w:basedOn w:val="a"/>
    <w:uiPriority w:val="99"/>
    <w:semiHidden/>
    <w:unhideWhenUsed/>
    <w:rsid w:val="00A17AAC"/>
  </w:style>
  <w:style w:type="paragraph" w:styleId="af4">
    <w:name w:val="Revision"/>
    <w:hidden/>
    <w:uiPriority w:val="99"/>
    <w:semiHidden/>
    <w:rsid w:val="005224FC"/>
    <w:pPr>
      <w:spacing w:after="0" w:line="240" w:lineRule="auto"/>
    </w:pPr>
  </w:style>
  <w:style w:type="character" w:styleId="af5">
    <w:name w:val="Hyperlink"/>
    <w:basedOn w:val="a0"/>
    <w:uiPriority w:val="99"/>
    <w:unhideWhenUsed/>
    <w:rsid w:val="00045DAD"/>
    <w:rPr>
      <w:color w:val="467886" w:themeColor="hyperlink"/>
      <w:u w:val="single"/>
    </w:rPr>
  </w:style>
  <w:style w:type="character" w:styleId="af6">
    <w:name w:val="Unresolved Mention"/>
    <w:basedOn w:val="a0"/>
    <w:uiPriority w:val="99"/>
    <w:semiHidden/>
    <w:unhideWhenUsed/>
    <w:rsid w:val="00045DAD"/>
    <w:rPr>
      <w:color w:val="605E5C"/>
      <w:shd w:val="clear" w:color="auto" w:fill="E1DFDD"/>
    </w:rPr>
  </w:style>
  <w:style w:type="character" w:styleId="af7">
    <w:name w:val="line number"/>
    <w:basedOn w:val="a0"/>
    <w:uiPriority w:val="99"/>
    <w:semiHidden/>
    <w:unhideWhenUsed/>
    <w:rsid w:val="008550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0191">
      <w:bodyDiv w:val="1"/>
      <w:marLeft w:val="0"/>
      <w:marRight w:val="0"/>
      <w:marTop w:val="0"/>
      <w:marBottom w:val="0"/>
      <w:divBdr>
        <w:top w:val="none" w:sz="0" w:space="0" w:color="auto"/>
        <w:left w:val="none" w:sz="0" w:space="0" w:color="auto"/>
        <w:bottom w:val="none" w:sz="0" w:space="0" w:color="auto"/>
        <w:right w:val="none" w:sz="0" w:space="0" w:color="auto"/>
      </w:divBdr>
    </w:div>
    <w:div w:id="32197360">
      <w:bodyDiv w:val="1"/>
      <w:marLeft w:val="0"/>
      <w:marRight w:val="0"/>
      <w:marTop w:val="0"/>
      <w:marBottom w:val="0"/>
      <w:divBdr>
        <w:top w:val="none" w:sz="0" w:space="0" w:color="auto"/>
        <w:left w:val="none" w:sz="0" w:space="0" w:color="auto"/>
        <w:bottom w:val="none" w:sz="0" w:space="0" w:color="auto"/>
        <w:right w:val="none" w:sz="0" w:space="0" w:color="auto"/>
      </w:divBdr>
    </w:div>
    <w:div w:id="36516089">
      <w:bodyDiv w:val="1"/>
      <w:marLeft w:val="0"/>
      <w:marRight w:val="0"/>
      <w:marTop w:val="0"/>
      <w:marBottom w:val="0"/>
      <w:divBdr>
        <w:top w:val="none" w:sz="0" w:space="0" w:color="auto"/>
        <w:left w:val="none" w:sz="0" w:space="0" w:color="auto"/>
        <w:bottom w:val="none" w:sz="0" w:space="0" w:color="auto"/>
        <w:right w:val="none" w:sz="0" w:space="0" w:color="auto"/>
      </w:divBdr>
    </w:div>
    <w:div w:id="37321743">
      <w:bodyDiv w:val="1"/>
      <w:marLeft w:val="0"/>
      <w:marRight w:val="0"/>
      <w:marTop w:val="0"/>
      <w:marBottom w:val="0"/>
      <w:divBdr>
        <w:top w:val="none" w:sz="0" w:space="0" w:color="auto"/>
        <w:left w:val="none" w:sz="0" w:space="0" w:color="auto"/>
        <w:bottom w:val="none" w:sz="0" w:space="0" w:color="auto"/>
        <w:right w:val="none" w:sz="0" w:space="0" w:color="auto"/>
      </w:divBdr>
    </w:div>
    <w:div w:id="76873852">
      <w:bodyDiv w:val="1"/>
      <w:marLeft w:val="0"/>
      <w:marRight w:val="0"/>
      <w:marTop w:val="0"/>
      <w:marBottom w:val="0"/>
      <w:divBdr>
        <w:top w:val="none" w:sz="0" w:space="0" w:color="auto"/>
        <w:left w:val="none" w:sz="0" w:space="0" w:color="auto"/>
        <w:bottom w:val="none" w:sz="0" w:space="0" w:color="auto"/>
        <w:right w:val="none" w:sz="0" w:space="0" w:color="auto"/>
      </w:divBdr>
    </w:div>
    <w:div w:id="96945958">
      <w:bodyDiv w:val="1"/>
      <w:marLeft w:val="0"/>
      <w:marRight w:val="0"/>
      <w:marTop w:val="0"/>
      <w:marBottom w:val="0"/>
      <w:divBdr>
        <w:top w:val="none" w:sz="0" w:space="0" w:color="auto"/>
        <w:left w:val="none" w:sz="0" w:space="0" w:color="auto"/>
        <w:bottom w:val="none" w:sz="0" w:space="0" w:color="auto"/>
        <w:right w:val="none" w:sz="0" w:space="0" w:color="auto"/>
      </w:divBdr>
    </w:div>
    <w:div w:id="99036485">
      <w:bodyDiv w:val="1"/>
      <w:marLeft w:val="0"/>
      <w:marRight w:val="0"/>
      <w:marTop w:val="0"/>
      <w:marBottom w:val="0"/>
      <w:divBdr>
        <w:top w:val="none" w:sz="0" w:space="0" w:color="auto"/>
        <w:left w:val="none" w:sz="0" w:space="0" w:color="auto"/>
        <w:bottom w:val="none" w:sz="0" w:space="0" w:color="auto"/>
        <w:right w:val="none" w:sz="0" w:space="0" w:color="auto"/>
      </w:divBdr>
    </w:div>
    <w:div w:id="109785421">
      <w:bodyDiv w:val="1"/>
      <w:marLeft w:val="0"/>
      <w:marRight w:val="0"/>
      <w:marTop w:val="0"/>
      <w:marBottom w:val="0"/>
      <w:divBdr>
        <w:top w:val="none" w:sz="0" w:space="0" w:color="auto"/>
        <w:left w:val="none" w:sz="0" w:space="0" w:color="auto"/>
        <w:bottom w:val="none" w:sz="0" w:space="0" w:color="auto"/>
        <w:right w:val="none" w:sz="0" w:space="0" w:color="auto"/>
      </w:divBdr>
      <w:divsChild>
        <w:div w:id="374744938">
          <w:marLeft w:val="0"/>
          <w:marRight w:val="0"/>
          <w:marTop w:val="0"/>
          <w:marBottom w:val="0"/>
          <w:divBdr>
            <w:top w:val="none" w:sz="0" w:space="0" w:color="auto"/>
            <w:left w:val="none" w:sz="0" w:space="0" w:color="auto"/>
            <w:bottom w:val="none" w:sz="0" w:space="0" w:color="auto"/>
            <w:right w:val="none" w:sz="0" w:space="0" w:color="auto"/>
          </w:divBdr>
          <w:divsChild>
            <w:div w:id="1442720314">
              <w:marLeft w:val="0"/>
              <w:marRight w:val="0"/>
              <w:marTop w:val="0"/>
              <w:marBottom w:val="180"/>
              <w:divBdr>
                <w:top w:val="none" w:sz="0" w:space="0" w:color="auto"/>
                <w:left w:val="none" w:sz="0" w:space="0" w:color="auto"/>
                <w:bottom w:val="none" w:sz="0" w:space="0" w:color="auto"/>
                <w:right w:val="none" w:sz="0" w:space="0" w:color="auto"/>
              </w:divBdr>
              <w:divsChild>
                <w:div w:id="160977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97944">
      <w:bodyDiv w:val="1"/>
      <w:marLeft w:val="0"/>
      <w:marRight w:val="0"/>
      <w:marTop w:val="0"/>
      <w:marBottom w:val="0"/>
      <w:divBdr>
        <w:top w:val="none" w:sz="0" w:space="0" w:color="auto"/>
        <w:left w:val="none" w:sz="0" w:space="0" w:color="auto"/>
        <w:bottom w:val="none" w:sz="0" w:space="0" w:color="auto"/>
        <w:right w:val="none" w:sz="0" w:space="0" w:color="auto"/>
      </w:divBdr>
      <w:divsChild>
        <w:div w:id="1869830431">
          <w:marLeft w:val="0"/>
          <w:marRight w:val="0"/>
          <w:marTop w:val="0"/>
          <w:marBottom w:val="0"/>
          <w:divBdr>
            <w:top w:val="none" w:sz="0" w:space="0" w:color="auto"/>
            <w:left w:val="none" w:sz="0" w:space="0" w:color="auto"/>
            <w:bottom w:val="none" w:sz="0" w:space="0" w:color="auto"/>
            <w:right w:val="none" w:sz="0" w:space="0" w:color="auto"/>
          </w:divBdr>
          <w:divsChild>
            <w:div w:id="440029109">
              <w:marLeft w:val="0"/>
              <w:marRight w:val="0"/>
              <w:marTop w:val="0"/>
              <w:marBottom w:val="180"/>
              <w:divBdr>
                <w:top w:val="none" w:sz="0" w:space="0" w:color="auto"/>
                <w:left w:val="none" w:sz="0" w:space="0" w:color="auto"/>
                <w:bottom w:val="none" w:sz="0" w:space="0" w:color="auto"/>
                <w:right w:val="none" w:sz="0" w:space="0" w:color="auto"/>
              </w:divBdr>
              <w:divsChild>
                <w:div w:id="1884099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60592">
      <w:bodyDiv w:val="1"/>
      <w:marLeft w:val="0"/>
      <w:marRight w:val="0"/>
      <w:marTop w:val="0"/>
      <w:marBottom w:val="0"/>
      <w:divBdr>
        <w:top w:val="none" w:sz="0" w:space="0" w:color="auto"/>
        <w:left w:val="none" w:sz="0" w:space="0" w:color="auto"/>
        <w:bottom w:val="none" w:sz="0" w:space="0" w:color="auto"/>
        <w:right w:val="none" w:sz="0" w:space="0" w:color="auto"/>
      </w:divBdr>
    </w:div>
    <w:div w:id="202834510">
      <w:bodyDiv w:val="1"/>
      <w:marLeft w:val="0"/>
      <w:marRight w:val="0"/>
      <w:marTop w:val="0"/>
      <w:marBottom w:val="0"/>
      <w:divBdr>
        <w:top w:val="none" w:sz="0" w:space="0" w:color="auto"/>
        <w:left w:val="none" w:sz="0" w:space="0" w:color="auto"/>
        <w:bottom w:val="none" w:sz="0" w:space="0" w:color="auto"/>
        <w:right w:val="none" w:sz="0" w:space="0" w:color="auto"/>
      </w:divBdr>
    </w:div>
    <w:div w:id="228686853">
      <w:bodyDiv w:val="1"/>
      <w:marLeft w:val="0"/>
      <w:marRight w:val="0"/>
      <w:marTop w:val="0"/>
      <w:marBottom w:val="0"/>
      <w:divBdr>
        <w:top w:val="none" w:sz="0" w:space="0" w:color="auto"/>
        <w:left w:val="none" w:sz="0" w:space="0" w:color="auto"/>
        <w:bottom w:val="none" w:sz="0" w:space="0" w:color="auto"/>
        <w:right w:val="none" w:sz="0" w:space="0" w:color="auto"/>
      </w:divBdr>
    </w:div>
    <w:div w:id="252591898">
      <w:bodyDiv w:val="1"/>
      <w:marLeft w:val="0"/>
      <w:marRight w:val="0"/>
      <w:marTop w:val="0"/>
      <w:marBottom w:val="0"/>
      <w:divBdr>
        <w:top w:val="none" w:sz="0" w:space="0" w:color="auto"/>
        <w:left w:val="none" w:sz="0" w:space="0" w:color="auto"/>
        <w:bottom w:val="none" w:sz="0" w:space="0" w:color="auto"/>
        <w:right w:val="none" w:sz="0" w:space="0" w:color="auto"/>
      </w:divBdr>
    </w:div>
    <w:div w:id="292911531">
      <w:bodyDiv w:val="1"/>
      <w:marLeft w:val="0"/>
      <w:marRight w:val="0"/>
      <w:marTop w:val="0"/>
      <w:marBottom w:val="0"/>
      <w:divBdr>
        <w:top w:val="none" w:sz="0" w:space="0" w:color="auto"/>
        <w:left w:val="none" w:sz="0" w:space="0" w:color="auto"/>
        <w:bottom w:val="none" w:sz="0" w:space="0" w:color="auto"/>
        <w:right w:val="none" w:sz="0" w:space="0" w:color="auto"/>
      </w:divBdr>
    </w:div>
    <w:div w:id="295186605">
      <w:bodyDiv w:val="1"/>
      <w:marLeft w:val="0"/>
      <w:marRight w:val="0"/>
      <w:marTop w:val="0"/>
      <w:marBottom w:val="0"/>
      <w:divBdr>
        <w:top w:val="none" w:sz="0" w:space="0" w:color="auto"/>
        <w:left w:val="none" w:sz="0" w:space="0" w:color="auto"/>
        <w:bottom w:val="none" w:sz="0" w:space="0" w:color="auto"/>
        <w:right w:val="none" w:sz="0" w:space="0" w:color="auto"/>
      </w:divBdr>
    </w:div>
    <w:div w:id="304507263">
      <w:bodyDiv w:val="1"/>
      <w:marLeft w:val="0"/>
      <w:marRight w:val="0"/>
      <w:marTop w:val="0"/>
      <w:marBottom w:val="0"/>
      <w:divBdr>
        <w:top w:val="none" w:sz="0" w:space="0" w:color="auto"/>
        <w:left w:val="none" w:sz="0" w:space="0" w:color="auto"/>
        <w:bottom w:val="none" w:sz="0" w:space="0" w:color="auto"/>
        <w:right w:val="none" w:sz="0" w:space="0" w:color="auto"/>
      </w:divBdr>
    </w:div>
    <w:div w:id="328799093">
      <w:bodyDiv w:val="1"/>
      <w:marLeft w:val="0"/>
      <w:marRight w:val="0"/>
      <w:marTop w:val="0"/>
      <w:marBottom w:val="0"/>
      <w:divBdr>
        <w:top w:val="none" w:sz="0" w:space="0" w:color="auto"/>
        <w:left w:val="none" w:sz="0" w:space="0" w:color="auto"/>
        <w:bottom w:val="none" w:sz="0" w:space="0" w:color="auto"/>
        <w:right w:val="none" w:sz="0" w:space="0" w:color="auto"/>
      </w:divBdr>
    </w:div>
    <w:div w:id="345833891">
      <w:bodyDiv w:val="1"/>
      <w:marLeft w:val="0"/>
      <w:marRight w:val="0"/>
      <w:marTop w:val="0"/>
      <w:marBottom w:val="0"/>
      <w:divBdr>
        <w:top w:val="none" w:sz="0" w:space="0" w:color="auto"/>
        <w:left w:val="none" w:sz="0" w:space="0" w:color="auto"/>
        <w:bottom w:val="none" w:sz="0" w:space="0" w:color="auto"/>
        <w:right w:val="none" w:sz="0" w:space="0" w:color="auto"/>
      </w:divBdr>
    </w:div>
    <w:div w:id="373970411">
      <w:bodyDiv w:val="1"/>
      <w:marLeft w:val="0"/>
      <w:marRight w:val="0"/>
      <w:marTop w:val="0"/>
      <w:marBottom w:val="0"/>
      <w:divBdr>
        <w:top w:val="none" w:sz="0" w:space="0" w:color="auto"/>
        <w:left w:val="none" w:sz="0" w:space="0" w:color="auto"/>
        <w:bottom w:val="none" w:sz="0" w:space="0" w:color="auto"/>
        <w:right w:val="none" w:sz="0" w:space="0" w:color="auto"/>
      </w:divBdr>
    </w:div>
    <w:div w:id="387534449">
      <w:bodyDiv w:val="1"/>
      <w:marLeft w:val="0"/>
      <w:marRight w:val="0"/>
      <w:marTop w:val="0"/>
      <w:marBottom w:val="0"/>
      <w:divBdr>
        <w:top w:val="none" w:sz="0" w:space="0" w:color="auto"/>
        <w:left w:val="none" w:sz="0" w:space="0" w:color="auto"/>
        <w:bottom w:val="none" w:sz="0" w:space="0" w:color="auto"/>
        <w:right w:val="none" w:sz="0" w:space="0" w:color="auto"/>
      </w:divBdr>
    </w:div>
    <w:div w:id="403451193">
      <w:bodyDiv w:val="1"/>
      <w:marLeft w:val="0"/>
      <w:marRight w:val="0"/>
      <w:marTop w:val="0"/>
      <w:marBottom w:val="0"/>
      <w:divBdr>
        <w:top w:val="none" w:sz="0" w:space="0" w:color="auto"/>
        <w:left w:val="none" w:sz="0" w:space="0" w:color="auto"/>
        <w:bottom w:val="none" w:sz="0" w:space="0" w:color="auto"/>
        <w:right w:val="none" w:sz="0" w:space="0" w:color="auto"/>
      </w:divBdr>
    </w:div>
    <w:div w:id="437604029">
      <w:bodyDiv w:val="1"/>
      <w:marLeft w:val="0"/>
      <w:marRight w:val="0"/>
      <w:marTop w:val="0"/>
      <w:marBottom w:val="0"/>
      <w:divBdr>
        <w:top w:val="none" w:sz="0" w:space="0" w:color="auto"/>
        <w:left w:val="none" w:sz="0" w:space="0" w:color="auto"/>
        <w:bottom w:val="none" w:sz="0" w:space="0" w:color="auto"/>
        <w:right w:val="none" w:sz="0" w:space="0" w:color="auto"/>
      </w:divBdr>
    </w:div>
    <w:div w:id="458256603">
      <w:bodyDiv w:val="1"/>
      <w:marLeft w:val="0"/>
      <w:marRight w:val="0"/>
      <w:marTop w:val="0"/>
      <w:marBottom w:val="0"/>
      <w:divBdr>
        <w:top w:val="none" w:sz="0" w:space="0" w:color="auto"/>
        <w:left w:val="none" w:sz="0" w:space="0" w:color="auto"/>
        <w:bottom w:val="none" w:sz="0" w:space="0" w:color="auto"/>
        <w:right w:val="none" w:sz="0" w:space="0" w:color="auto"/>
      </w:divBdr>
    </w:div>
    <w:div w:id="493879612">
      <w:bodyDiv w:val="1"/>
      <w:marLeft w:val="0"/>
      <w:marRight w:val="0"/>
      <w:marTop w:val="0"/>
      <w:marBottom w:val="0"/>
      <w:divBdr>
        <w:top w:val="none" w:sz="0" w:space="0" w:color="auto"/>
        <w:left w:val="none" w:sz="0" w:space="0" w:color="auto"/>
        <w:bottom w:val="none" w:sz="0" w:space="0" w:color="auto"/>
        <w:right w:val="none" w:sz="0" w:space="0" w:color="auto"/>
      </w:divBdr>
    </w:div>
    <w:div w:id="494803333">
      <w:bodyDiv w:val="1"/>
      <w:marLeft w:val="0"/>
      <w:marRight w:val="0"/>
      <w:marTop w:val="0"/>
      <w:marBottom w:val="0"/>
      <w:divBdr>
        <w:top w:val="none" w:sz="0" w:space="0" w:color="auto"/>
        <w:left w:val="none" w:sz="0" w:space="0" w:color="auto"/>
        <w:bottom w:val="none" w:sz="0" w:space="0" w:color="auto"/>
        <w:right w:val="none" w:sz="0" w:space="0" w:color="auto"/>
      </w:divBdr>
    </w:div>
    <w:div w:id="537743659">
      <w:bodyDiv w:val="1"/>
      <w:marLeft w:val="0"/>
      <w:marRight w:val="0"/>
      <w:marTop w:val="0"/>
      <w:marBottom w:val="0"/>
      <w:divBdr>
        <w:top w:val="none" w:sz="0" w:space="0" w:color="auto"/>
        <w:left w:val="none" w:sz="0" w:space="0" w:color="auto"/>
        <w:bottom w:val="none" w:sz="0" w:space="0" w:color="auto"/>
        <w:right w:val="none" w:sz="0" w:space="0" w:color="auto"/>
      </w:divBdr>
    </w:div>
    <w:div w:id="539051271">
      <w:bodyDiv w:val="1"/>
      <w:marLeft w:val="0"/>
      <w:marRight w:val="0"/>
      <w:marTop w:val="0"/>
      <w:marBottom w:val="0"/>
      <w:divBdr>
        <w:top w:val="none" w:sz="0" w:space="0" w:color="auto"/>
        <w:left w:val="none" w:sz="0" w:space="0" w:color="auto"/>
        <w:bottom w:val="none" w:sz="0" w:space="0" w:color="auto"/>
        <w:right w:val="none" w:sz="0" w:space="0" w:color="auto"/>
      </w:divBdr>
    </w:div>
    <w:div w:id="549652027">
      <w:bodyDiv w:val="1"/>
      <w:marLeft w:val="0"/>
      <w:marRight w:val="0"/>
      <w:marTop w:val="0"/>
      <w:marBottom w:val="0"/>
      <w:divBdr>
        <w:top w:val="none" w:sz="0" w:space="0" w:color="auto"/>
        <w:left w:val="none" w:sz="0" w:space="0" w:color="auto"/>
        <w:bottom w:val="none" w:sz="0" w:space="0" w:color="auto"/>
        <w:right w:val="none" w:sz="0" w:space="0" w:color="auto"/>
      </w:divBdr>
    </w:div>
    <w:div w:id="558590743">
      <w:bodyDiv w:val="1"/>
      <w:marLeft w:val="0"/>
      <w:marRight w:val="0"/>
      <w:marTop w:val="0"/>
      <w:marBottom w:val="0"/>
      <w:divBdr>
        <w:top w:val="none" w:sz="0" w:space="0" w:color="auto"/>
        <w:left w:val="none" w:sz="0" w:space="0" w:color="auto"/>
        <w:bottom w:val="none" w:sz="0" w:space="0" w:color="auto"/>
        <w:right w:val="none" w:sz="0" w:space="0" w:color="auto"/>
      </w:divBdr>
    </w:div>
    <w:div w:id="623729243">
      <w:bodyDiv w:val="1"/>
      <w:marLeft w:val="0"/>
      <w:marRight w:val="0"/>
      <w:marTop w:val="0"/>
      <w:marBottom w:val="0"/>
      <w:divBdr>
        <w:top w:val="none" w:sz="0" w:space="0" w:color="auto"/>
        <w:left w:val="none" w:sz="0" w:space="0" w:color="auto"/>
        <w:bottom w:val="none" w:sz="0" w:space="0" w:color="auto"/>
        <w:right w:val="none" w:sz="0" w:space="0" w:color="auto"/>
      </w:divBdr>
      <w:divsChild>
        <w:div w:id="676347070">
          <w:marLeft w:val="0"/>
          <w:marRight w:val="0"/>
          <w:marTop w:val="0"/>
          <w:marBottom w:val="0"/>
          <w:divBdr>
            <w:top w:val="none" w:sz="0" w:space="0" w:color="auto"/>
            <w:left w:val="none" w:sz="0" w:space="0" w:color="auto"/>
            <w:bottom w:val="none" w:sz="0" w:space="0" w:color="auto"/>
            <w:right w:val="none" w:sz="0" w:space="0" w:color="auto"/>
          </w:divBdr>
          <w:divsChild>
            <w:div w:id="1392387876">
              <w:marLeft w:val="0"/>
              <w:marRight w:val="0"/>
              <w:marTop w:val="0"/>
              <w:marBottom w:val="180"/>
              <w:divBdr>
                <w:top w:val="none" w:sz="0" w:space="0" w:color="auto"/>
                <w:left w:val="none" w:sz="0" w:space="0" w:color="auto"/>
                <w:bottom w:val="none" w:sz="0" w:space="0" w:color="auto"/>
                <w:right w:val="none" w:sz="0" w:space="0" w:color="auto"/>
              </w:divBdr>
              <w:divsChild>
                <w:div w:id="155635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733814">
      <w:bodyDiv w:val="1"/>
      <w:marLeft w:val="0"/>
      <w:marRight w:val="0"/>
      <w:marTop w:val="0"/>
      <w:marBottom w:val="0"/>
      <w:divBdr>
        <w:top w:val="none" w:sz="0" w:space="0" w:color="auto"/>
        <w:left w:val="none" w:sz="0" w:space="0" w:color="auto"/>
        <w:bottom w:val="none" w:sz="0" w:space="0" w:color="auto"/>
        <w:right w:val="none" w:sz="0" w:space="0" w:color="auto"/>
      </w:divBdr>
    </w:div>
    <w:div w:id="701127030">
      <w:bodyDiv w:val="1"/>
      <w:marLeft w:val="0"/>
      <w:marRight w:val="0"/>
      <w:marTop w:val="0"/>
      <w:marBottom w:val="0"/>
      <w:divBdr>
        <w:top w:val="none" w:sz="0" w:space="0" w:color="auto"/>
        <w:left w:val="none" w:sz="0" w:space="0" w:color="auto"/>
        <w:bottom w:val="none" w:sz="0" w:space="0" w:color="auto"/>
        <w:right w:val="none" w:sz="0" w:space="0" w:color="auto"/>
      </w:divBdr>
      <w:divsChild>
        <w:div w:id="1101026662">
          <w:marLeft w:val="0"/>
          <w:marRight w:val="0"/>
          <w:marTop w:val="0"/>
          <w:marBottom w:val="0"/>
          <w:divBdr>
            <w:top w:val="none" w:sz="0" w:space="0" w:color="auto"/>
            <w:left w:val="none" w:sz="0" w:space="0" w:color="auto"/>
            <w:bottom w:val="none" w:sz="0" w:space="0" w:color="auto"/>
            <w:right w:val="none" w:sz="0" w:space="0" w:color="auto"/>
          </w:divBdr>
          <w:divsChild>
            <w:div w:id="1828666501">
              <w:marLeft w:val="0"/>
              <w:marRight w:val="0"/>
              <w:marTop w:val="0"/>
              <w:marBottom w:val="180"/>
              <w:divBdr>
                <w:top w:val="none" w:sz="0" w:space="0" w:color="auto"/>
                <w:left w:val="none" w:sz="0" w:space="0" w:color="auto"/>
                <w:bottom w:val="none" w:sz="0" w:space="0" w:color="auto"/>
                <w:right w:val="none" w:sz="0" w:space="0" w:color="auto"/>
              </w:divBdr>
              <w:divsChild>
                <w:div w:id="136617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906110">
      <w:bodyDiv w:val="1"/>
      <w:marLeft w:val="0"/>
      <w:marRight w:val="0"/>
      <w:marTop w:val="0"/>
      <w:marBottom w:val="0"/>
      <w:divBdr>
        <w:top w:val="none" w:sz="0" w:space="0" w:color="auto"/>
        <w:left w:val="none" w:sz="0" w:space="0" w:color="auto"/>
        <w:bottom w:val="none" w:sz="0" w:space="0" w:color="auto"/>
        <w:right w:val="none" w:sz="0" w:space="0" w:color="auto"/>
      </w:divBdr>
    </w:div>
    <w:div w:id="708261129">
      <w:bodyDiv w:val="1"/>
      <w:marLeft w:val="0"/>
      <w:marRight w:val="0"/>
      <w:marTop w:val="0"/>
      <w:marBottom w:val="0"/>
      <w:divBdr>
        <w:top w:val="none" w:sz="0" w:space="0" w:color="auto"/>
        <w:left w:val="none" w:sz="0" w:space="0" w:color="auto"/>
        <w:bottom w:val="none" w:sz="0" w:space="0" w:color="auto"/>
        <w:right w:val="none" w:sz="0" w:space="0" w:color="auto"/>
      </w:divBdr>
    </w:div>
    <w:div w:id="710111284">
      <w:bodyDiv w:val="1"/>
      <w:marLeft w:val="0"/>
      <w:marRight w:val="0"/>
      <w:marTop w:val="0"/>
      <w:marBottom w:val="0"/>
      <w:divBdr>
        <w:top w:val="none" w:sz="0" w:space="0" w:color="auto"/>
        <w:left w:val="none" w:sz="0" w:space="0" w:color="auto"/>
        <w:bottom w:val="none" w:sz="0" w:space="0" w:color="auto"/>
        <w:right w:val="none" w:sz="0" w:space="0" w:color="auto"/>
      </w:divBdr>
    </w:div>
    <w:div w:id="715593146">
      <w:bodyDiv w:val="1"/>
      <w:marLeft w:val="0"/>
      <w:marRight w:val="0"/>
      <w:marTop w:val="0"/>
      <w:marBottom w:val="0"/>
      <w:divBdr>
        <w:top w:val="none" w:sz="0" w:space="0" w:color="auto"/>
        <w:left w:val="none" w:sz="0" w:space="0" w:color="auto"/>
        <w:bottom w:val="none" w:sz="0" w:space="0" w:color="auto"/>
        <w:right w:val="none" w:sz="0" w:space="0" w:color="auto"/>
      </w:divBdr>
    </w:div>
    <w:div w:id="720519599">
      <w:bodyDiv w:val="1"/>
      <w:marLeft w:val="0"/>
      <w:marRight w:val="0"/>
      <w:marTop w:val="0"/>
      <w:marBottom w:val="0"/>
      <w:divBdr>
        <w:top w:val="none" w:sz="0" w:space="0" w:color="auto"/>
        <w:left w:val="none" w:sz="0" w:space="0" w:color="auto"/>
        <w:bottom w:val="none" w:sz="0" w:space="0" w:color="auto"/>
        <w:right w:val="none" w:sz="0" w:space="0" w:color="auto"/>
      </w:divBdr>
    </w:div>
    <w:div w:id="758871201">
      <w:bodyDiv w:val="1"/>
      <w:marLeft w:val="0"/>
      <w:marRight w:val="0"/>
      <w:marTop w:val="0"/>
      <w:marBottom w:val="0"/>
      <w:divBdr>
        <w:top w:val="none" w:sz="0" w:space="0" w:color="auto"/>
        <w:left w:val="none" w:sz="0" w:space="0" w:color="auto"/>
        <w:bottom w:val="none" w:sz="0" w:space="0" w:color="auto"/>
        <w:right w:val="none" w:sz="0" w:space="0" w:color="auto"/>
      </w:divBdr>
    </w:div>
    <w:div w:id="769278330">
      <w:bodyDiv w:val="1"/>
      <w:marLeft w:val="0"/>
      <w:marRight w:val="0"/>
      <w:marTop w:val="0"/>
      <w:marBottom w:val="0"/>
      <w:divBdr>
        <w:top w:val="none" w:sz="0" w:space="0" w:color="auto"/>
        <w:left w:val="none" w:sz="0" w:space="0" w:color="auto"/>
        <w:bottom w:val="none" w:sz="0" w:space="0" w:color="auto"/>
        <w:right w:val="none" w:sz="0" w:space="0" w:color="auto"/>
      </w:divBdr>
    </w:div>
    <w:div w:id="977877003">
      <w:bodyDiv w:val="1"/>
      <w:marLeft w:val="0"/>
      <w:marRight w:val="0"/>
      <w:marTop w:val="0"/>
      <w:marBottom w:val="0"/>
      <w:divBdr>
        <w:top w:val="none" w:sz="0" w:space="0" w:color="auto"/>
        <w:left w:val="none" w:sz="0" w:space="0" w:color="auto"/>
        <w:bottom w:val="none" w:sz="0" w:space="0" w:color="auto"/>
        <w:right w:val="none" w:sz="0" w:space="0" w:color="auto"/>
      </w:divBdr>
    </w:div>
    <w:div w:id="979378952">
      <w:bodyDiv w:val="1"/>
      <w:marLeft w:val="0"/>
      <w:marRight w:val="0"/>
      <w:marTop w:val="0"/>
      <w:marBottom w:val="0"/>
      <w:divBdr>
        <w:top w:val="none" w:sz="0" w:space="0" w:color="auto"/>
        <w:left w:val="none" w:sz="0" w:space="0" w:color="auto"/>
        <w:bottom w:val="none" w:sz="0" w:space="0" w:color="auto"/>
        <w:right w:val="none" w:sz="0" w:space="0" w:color="auto"/>
      </w:divBdr>
    </w:div>
    <w:div w:id="1016619537">
      <w:bodyDiv w:val="1"/>
      <w:marLeft w:val="0"/>
      <w:marRight w:val="0"/>
      <w:marTop w:val="0"/>
      <w:marBottom w:val="0"/>
      <w:divBdr>
        <w:top w:val="none" w:sz="0" w:space="0" w:color="auto"/>
        <w:left w:val="none" w:sz="0" w:space="0" w:color="auto"/>
        <w:bottom w:val="none" w:sz="0" w:space="0" w:color="auto"/>
        <w:right w:val="none" w:sz="0" w:space="0" w:color="auto"/>
      </w:divBdr>
    </w:div>
    <w:div w:id="1033656690">
      <w:bodyDiv w:val="1"/>
      <w:marLeft w:val="0"/>
      <w:marRight w:val="0"/>
      <w:marTop w:val="0"/>
      <w:marBottom w:val="0"/>
      <w:divBdr>
        <w:top w:val="none" w:sz="0" w:space="0" w:color="auto"/>
        <w:left w:val="none" w:sz="0" w:space="0" w:color="auto"/>
        <w:bottom w:val="none" w:sz="0" w:space="0" w:color="auto"/>
        <w:right w:val="none" w:sz="0" w:space="0" w:color="auto"/>
      </w:divBdr>
    </w:div>
    <w:div w:id="1069427504">
      <w:bodyDiv w:val="1"/>
      <w:marLeft w:val="0"/>
      <w:marRight w:val="0"/>
      <w:marTop w:val="0"/>
      <w:marBottom w:val="0"/>
      <w:divBdr>
        <w:top w:val="none" w:sz="0" w:space="0" w:color="auto"/>
        <w:left w:val="none" w:sz="0" w:space="0" w:color="auto"/>
        <w:bottom w:val="none" w:sz="0" w:space="0" w:color="auto"/>
        <w:right w:val="none" w:sz="0" w:space="0" w:color="auto"/>
      </w:divBdr>
    </w:div>
    <w:div w:id="1088500858">
      <w:bodyDiv w:val="1"/>
      <w:marLeft w:val="0"/>
      <w:marRight w:val="0"/>
      <w:marTop w:val="0"/>
      <w:marBottom w:val="0"/>
      <w:divBdr>
        <w:top w:val="none" w:sz="0" w:space="0" w:color="auto"/>
        <w:left w:val="none" w:sz="0" w:space="0" w:color="auto"/>
        <w:bottom w:val="none" w:sz="0" w:space="0" w:color="auto"/>
        <w:right w:val="none" w:sz="0" w:space="0" w:color="auto"/>
      </w:divBdr>
    </w:div>
    <w:div w:id="1094277200">
      <w:bodyDiv w:val="1"/>
      <w:marLeft w:val="0"/>
      <w:marRight w:val="0"/>
      <w:marTop w:val="0"/>
      <w:marBottom w:val="0"/>
      <w:divBdr>
        <w:top w:val="none" w:sz="0" w:space="0" w:color="auto"/>
        <w:left w:val="none" w:sz="0" w:space="0" w:color="auto"/>
        <w:bottom w:val="none" w:sz="0" w:space="0" w:color="auto"/>
        <w:right w:val="none" w:sz="0" w:space="0" w:color="auto"/>
      </w:divBdr>
    </w:div>
    <w:div w:id="1100683875">
      <w:bodyDiv w:val="1"/>
      <w:marLeft w:val="0"/>
      <w:marRight w:val="0"/>
      <w:marTop w:val="0"/>
      <w:marBottom w:val="0"/>
      <w:divBdr>
        <w:top w:val="none" w:sz="0" w:space="0" w:color="auto"/>
        <w:left w:val="none" w:sz="0" w:space="0" w:color="auto"/>
        <w:bottom w:val="none" w:sz="0" w:space="0" w:color="auto"/>
        <w:right w:val="none" w:sz="0" w:space="0" w:color="auto"/>
      </w:divBdr>
    </w:div>
    <w:div w:id="1111702954">
      <w:bodyDiv w:val="1"/>
      <w:marLeft w:val="0"/>
      <w:marRight w:val="0"/>
      <w:marTop w:val="0"/>
      <w:marBottom w:val="0"/>
      <w:divBdr>
        <w:top w:val="none" w:sz="0" w:space="0" w:color="auto"/>
        <w:left w:val="none" w:sz="0" w:space="0" w:color="auto"/>
        <w:bottom w:val="none" w:sz="0" w:space="0" w:color="auto"/>
        <w:right w:val="none" w:sz="0" w:space="0" w:color="auto"/>
      </w:divBdr>
    </w:div>
    <w:div w:id="1163935426">
      <w:bodyDiv w:val="1"/>
      <w:marLeft w:val="0"/>
      <w:marRight w:val="0"/>
      <w:marTop w:val="0"/>
      <w:marBottom w:val="0"/>
      <w:divBdr>
        <w:top w:val="none" w:sz="0" w:space="0" w:color="auto"/>
        <w:left w:val="none" w:sz="0" w:space="0" w:color="auto"/>
        <w:bottom w:val="none" w:sz="0" w:space="0" w:color="auto"/>
        <w:right w:val="none" w:sz="0" w:space="0" w:color="auto"/>
      </w:divBdr>
    </w:div>
    <w:div w:id="1178037622">
      <w:bodyDiv w:val="1"/>
      <w:marLeft w:val="0"/>
      <w:marRight w:val="0"/>
      <w:marTop w:val="0"/>
      <w:marBottom w:val="0"/>
      <w:divBdr>
        <w:top w:val="none" w:sz="0" w:space="0" w:color="auto"/>
        <w:left w:val="none" w:sz="0" w:space="0" w:color="auto"/>
        <w:bottom w:val="none" w:sz="0" w:space="0" w:color="auto"/>
        <w:right w:val="none" w:sz="0" w:space="0" w:color="auto"/>
      </w:divBdr>
    </w:div>
    <w:div w:id="1185023611">
      <w:bodyDiv w:val="1"/>
      <w:marLeft w:val="0"/>
      <w:marRight w:val="0"/>
      <w:marTop w:val="0"/>
      <w:marBottom w:val="0"/>
      <w:divBdr>
        <w:top w:val="none" w:sz="0" w:space="0" w:color="auto"/>
        <w:left w:val="none" w:sz="0" w:space="0" w:color="auto"/>
        <w:bottom w:val="none" w:sz="0" w:space="0" w:color="auto"/>
        <w:right w:val="none" w:sz="0" w:space="0" w:color="auto"/>
      </w:divBdr>
    </w:div>
    <w:div w:id="1200169052">
      <w:bodyDiv w:val="1"/>
      <w:marLeft w:val="0"/>
      <w:marRight w:val="0"/>
      <w:marTop w:val="0"/>
      <w:marBottom w:val="0"/>
      <w:divBdr>
        <w:top w:val="none" w:sz="0" w:space="0" w:color="auto"/>
        <w:left w:val="none" w:sz="0" w:space="0" w:color="auto"/>
        <w:bottom w:val="none" w:sz="0" w:space="0" w:color="auto"/>
        <w:right w:val="none" w:sz="0" w:space="0" w:color="auto"/>
      </w:divBdr>
    </w:div>
    <w:div w:id="1227760951">
      <w:bodyDiv w:val="1"/>
      <w:marLeft w:val="0"/>
      <w:marRight w:val="0"/>
      <w:marTop w:val="0"/>
      <w:marBottom w:val="0"/>
      <w:divBdr>
        <w:top w:val="none" w:sz="0" w:space="0" w:color="auto"/>
        <w:left w:val="none" w:sz="0" w:space="0" w:color="auto"/>
        <w:bottom w:val="none" w:sz="0" w:space="0" w:color="auto"/>
        <w:right w:val="none" w:sz="0" w:space="0" w:color="auto"/>
      </w:divBdr>
    </w:div>
    <w:div w:id="1251504431">
      <w:bodyDiv w:val="1"/>
      <w:marLeft w:val="0"/>
      <w:marRight w:val="0"/>
      <w:marTop w:val="0"/>
      <w:marBottom w:val="0"/>
      <w:divBdr>
        <w:top w:val="none" w:sz="0" w:space="0" w:color="auto"/>
        <w:left w:val="none" w:sz="0" w:space="0" w:color="auto"/>
        <w:bottom w:val="none" w:sz="0" w:space="0" w:color="auto"/>
        <w:right w:val="none" w:sz="0" w:space="0" w:color="auto"/>
      </w:divBdr>
    </w:div>
    <w:div w:id="1304500496">
      <w:bodyDiv w:val="1"/>
      <w:marLeft w:val="0"/>
      <w:marRight w:val="0"/>
      <w:marTop w:val="0"/>
      <w:marBottom w:val="0"/>
      <w:divBdr>
        <w:top w:val="none" w:sz="0" w:space="0" w:color="auto"/>
        <w:left w:val="none" w:sz="0" w:space="0" w:color="auto"/>
        <w:bottom w:val="none" w:sz="0" w:space="0" w:color="auto"/>
        <w:right w:val="none" w:sz="0" w:space="0" w:color="auto"/>
      </w:divBdr>
    </w:div>
    <w:div w:id="1317492503">
      <w:bodyDiv w:val="1"/>
      <w:marLeft w:val="0"/>
      <w:marRight w:val="0"/>
      <w:marTop w:val="0"/>
      <w:marBottom w:val="0"/>
      <w:divBdr>
        <w:top w:val="none" w:sz="0" w:space="0" w:color="auto"/>
        <w:left w:val="none" w:sz="0" w:space="0" w:color="auto"/>
        <w:bottom w:val="none" w:sz="0" w:space="0" w:color="auto"/>
        <w:right w:val="none" w:sz="0" w:space="0" w:color="auto"/>
      </w:divBdr>
    </w:div>
    <w:div w:id="1333534248">
      <w:bodyDiv w:val="1"/>
      <w:marLeft w:val="0"/>
      <w:marRight w:val="0"/>
      <w:marTop w:val="0"/>
      <w:marBottom w:val="0"/>
      <w:divBdr>
        <w:top w:val="none" w:sz="0" w:space="0" w:color="auto"/>
        <w:left w:val="none" w:sz="0" w:space="0" w:color="auto"/>
        <w:bottom w:val="none" w:sz="0" w:space="0" w:color="auto"/>
        <w:right w:val="none" w:sz="0" w:space="0" w:color="auto"/>
      </w:divBdr>
    </w:div>
    <w:div w:id="1346637142">
      <w:bodyDiv w:val="1"/>
      <w:marLeft w:val="0"/>
      <w:marRight w:val="0"/>
      <w:marTop w:val="0"/>
      <w:marBottom w:val="0"/>
      <w:divBdr>
        <w:top w:val="none" w:sz="0" w:space="0" w:color="auto"/>
        <w:left w:val="none" w:sz="0" w:space="0" w:color="auto"/>
        <w:bottom w:val="none" w:sz="0" w:space="0" w:color="auto"/>
        <w:right w:val="none" w:sz="0" w:space="0" w:color="auto"/>
      </w:divBdr>
    </w:div>
    <w:div w:id="1382360574">
      <w:bodyDiv w:val="1"/>
      <w:marLeft w:val="0"/>
      <w:marRight w:val="0"/>
      <w:marTop w:val="0"/>
      <w:marBottom w:val="0"/>
      <w:divBdr>
        <w:top w:val="none" w:sz="0" w:space="0" w:color="auto"/>
        <w:left w:val="none" w:sz="0" w:space="0" w:color="auto"/>
        <w:bottom w:val="none" w:sz="0" w:space="0" w:color="auto"/>
        <w:right w:val="none" w:sz="0" w:space="0" w:color="auto"/>
      </w:divBdr>
    </w:div>
    <w:div w:id="1382898709">
      <w:bodyDiv w:val="1"/>
      <w:marLeft w:val="0"/>
      <w:marRight w:val="0"/>
      <w:marTop w:val="0"/>
      <w:marBottom w:val="0"/>
      <w:divBdr>
        <w:top w:val="none" w:sz="0" w:space="0" w:color="auto"/>
        <w:left w:val="none" w:sz="0" w:space="0" w:color="auto"/>
        <w:bottom w:val="none" w:sz="0" w:space="0" w:color="auto"/>
        <w:right w:val="none" w:sz="0" w:space="0" w:color="auto"/>
      </w:divBdr>
    </w:div>
    <w:div w:id="1383410461">
      <w:bodyDiv w:val="1"/>
      <w:marLeft w:val="0"/>
      <w:marRight w:val="0"/>
      <w:marTop w:val="0"/>
      <w:marBottom w:val="0"/>
      <w:divBdr>
        <w:top w:val="none" w:sz="0" w:space="0" w:color="auto"/>
        <w:left w:val="none" w:sz="0" w:space="0" w:color="auto"/>
        <w:bottom w:val="none" w:sz="0" w:space="0" w:color="auto"/>
        <w:right w:val="none" w:sz="0" w:space="0" w:color="auto"/>
      </w:divBdr>
    </w:div>
    <w:div w:id="1393577940">
      <w:bodyDiv w:val="1"/>
      <w:marLeft w:val="0"/>
      <w:marRight w:val="0"/>
      <w:marTop w:val="0"/>
      <w:marBottom w:val="0"/>
      <w:divBdr>
        <w:top w:val="none" w:sz="0" w:space="0" w:color="auto"/>
        <w:left w:val="none" w:sz="0" w:space="0" w:color="auto"/>
        <w:bottom w:val="none" w:sz="0" w:space="0" w:color="auto"/>
        <w:right w:val="none" w:sz="0" w:space="0" w:color="auto"/>
      </w:divBdr>
    </w:div>
    <w:div w:id="1443570070">
      <w:bodyDiv w:val="1"/>
      <w:marLeft w:val="0"/>
      <w:marRight w:val="0"/>
      <w:marTop w:val="0"/>
      <w:marBottom w:val="0"/>
      <w:divBdr>
        <w:top w:val="none" w:sz="0" w:space="0" w:color="auto"/>
        <w:left w:val="none" w:sz="0" w:space="0" w:color="auto"/>
        <w:bottom w:val="none" w:sz="0" w:space="0" w:color="auto"/>
        <w:right w:val="none" w:sz="0" w:space="0" w:color="auto"/>
      </w:divBdr>
    </w:div>
    <w:div w:id="1450003353">
      <w:bodyDiv w:val="1"/>
      <w:marLeft w:val="0"/>
      <w:marRight w:val="0"/>
      <w:marTop w:val="0"/>
      <w:marBottom w:val="0"/>
      <w:divBdr>
        <w:top w:val="none" w:sz="0" w:space="0" w:color="auto"/>
        <w:left w:val="none" w:sz="0" w:space="0" w:color="auto"/>
        <w:bottom w:val="none" w:sz="0" w:space="0" w:color="auto"/>
        <w:right w:val="none" w:sz="0" w:space="0" w:color="auto"/>
      </w:divBdr>
    </w:div>
    <w:div w:id="1500344006">
      <w:bodyDiv w:val="1"/>
      <w:marLeft w:val="0"/>
      <w:marRight w:val="0"/>
      <w:marTop w:val="0"/>
      <w:marBottom w:val="0"/>
      <w:divBdr>
        <w:top w:val="none" w:sz="0" w:space="0" w:color="auto"/>
        <w:left w:val="none" w:sz="0" w:space="0" w:color="auto"/>
        <w:bottom w:val="none" w:sz="0" w:space="0" w:color="auto"/>
        <w:right w:val="none" w:sz="0" w:space="0" w:color="auto"/>
      </w:divBdr>
    </w:div>
    <w:div w:id="1512378900">
      <w:bodyDiv w:val="1"/>
      <w:marLeft w:val="0"/>
      <w:marRight w:val="0"/>
      <w:marTop w:val="0"/>
      <w:marBottom w:val="0"/>
      <w:divBdr>
        <w:top w:val="none" w:sz="0" w:space="0" w:color="auto"/>
        <w:left w:val="none" w:sz="0" w:space="0" w:color="auto"/>
        <w:bottom w:val="none" w:sz="0" w:space="0" w:color="auto"/>
        <w:right w:val="none" w:sz="0" w:space="0" w:color="auto"/>
      </w:divBdr>
    </w:div>
    <w:div w:id="1521506296">
      <w:bodyDiv w:val="1"/>
      <w:marLeft w:val="0"/>
      <w:marRight w:val="0"/>
      <w:marTop w:val="0"/>
      <w:marBottom w:val="0"/>
      <w:divBdr>
        <w:top w:val="none" w:sz="0" w:space="0" w:color="auto"/>
        <w:left w:val="none" w:sz="0" w:space="0" w:color="auto"/>
        <w:bottom w:val="none" w:sz="0" w:space="0" w:color="auto"/>
        <w:right w:val="none" w:sz="0" w:space="0" w:color="auto"/>
      </w:divBdr>
    </w:div>
    <w:div w:id="1529610498">
      <w:bodyDiv w:val="1"/>
      <w:marLeft w:val="0"/>
      <w:marRight w:val="0"/>
      <w:marTop w:val="0"/>
      <w:marBottom w:val="0"/>
      <w:divBdr>
        <w:top w:val="none" w:sz="0" w:space="0" w:color="auto"/>
        <w:left w:val="none" w:sz="0" w:space="0" w:color="auto"/>
        <w:bottom w:val="none" w:sz="0" w:space="0" w:color="auto"/>
        <w:right w:val="none" w:sz="0" w:space="0" w:color="auto"/>
      </w:divBdr>
    </w:div>
    <w:div w:id="1614433916">
      <w:bodyDiv w:val="1"/>
      <w:marLeft w:val="0"/>
      <w:marRight w:val="0"/>
      <w:marTop w:val="0"/>
      <w:marBottom w:val="0"/>
      <w:divBdr>
        <w:top w:val="none" w:sz="0" w:space="0" w:color="auto"/>
        <w:left w:val="none" w:sz="0" w:space="0" w:color="auto"/>
        <w:bottom w:val="none" w:sz="0" w:space="0" w:color="auto"/>
        <w:right w:val="none" w:sz="0" w:space="0" w:color="auto"/>
      </w:divBdr>
    </w:div>
    <w:div w:id="1630041517">
      <w:bodyDiv w:val="1"/>
      <w:marLeft w:val="0"/>
      <w:marRight w:val="0"/>
      <w:marTop w:val="0"/>
      <w:marBottom w:val="0"/>
      <w:divBdr>
        <w:top w:val="none" w:sz="0" w:space="0" w:color="auto"/>
        <w:left w:val="none" w:sz="0" w:space="0" w:color="auto"/>
        <w:bottom w:val="none" w:sz="0" w:space="0" w:color="auto"/>
        <w:right w:val="none" w:sz="0" w:space="0" w:color="auto"/>
      </w:divBdr>
    </w:div>
    <w:div w:id="1638753718">
      <w:bodyDiv w:val="1"/>
      <w:marLeft w:val="0"/>
      <w:marRight w:val="0"/>
      <w:marTop w:val="0"/>
      <w:marBottom w:val="0"/>
      <w:divBdr>
        <w:top w:val="none" w:sz="0" w:space="0" w:color="auto"/>
        <w:left w:val="none" w:sz="0" w:space="0" w:color="auto"/>
        <w:bottom w:val="none" w:sz="0" w:space="0" w:color="auto"/>
        <w:right w:val="none" w:sz="0" w:space="0" w:color="auto"/>
      </w:divBdr>
    </w:div>
    <w:div w:id="1663048093">
      <w:bodyDiv w:val="1"/>
      <w:marLeft w:val="0"/>
      <w:marRight w:val="0"/>
      <w:marTop w:val="0"/>
      <w:marBottom w:val="0"/>
      <w:divBdr>
        <w:top w:val="none" w:sz="0" w:space="0" w:color="auto"/>
        <w:left w:val="none" w:sz="0" w:space="0" w:color="auto"/>
        <w:bottom w:val="none" w:sz="0" w:space="0" w:color="auto"/>
        <w:right w:val="none" w:sz="0" w:space="0" w:color="auto"/>
      </w:divBdr>
    </w:div>
    <w:div w:id="1728381760">
      <w:bodyDiv w:val="1"/>
      <w:marLeft w:val="0"/>
      <w:marRight w:val="0"/>
      <w:marTop w:val="0"/>
      <w:marBottom w:val="0"/>
      <w:divBdr>
        <w:top w:val="none" w:sz="0" w:space="0" w:color="auto"/>
        <w:left w:val="none" w:sz="0" w:space="0" w:color="auto"/>
        <w:bottom w:val="none" w:sz="0" w:space="0" w:color="auto"/>
        <w:right w:val="none" w:sz="0" w:space="0" w:color="auto"/>
      </w:divBdr>
    </w:div>
    <w:div w:id="1749881022">
      <w:bodyDiv w:val="1"/>
      <w:marLeft w:val="0"/>
      <w:marRight w:val="0"/>
      <w:marTop w:val="0"/>
      <w:marBottom w:val="0"/>
      <w:divBdr>
        <w:top w:val="none" w:sz="0" w:space="0" w:color="auto"/>
        <w:left w:val="none" w:sz="0" w:space="0" w:color="auto"/>
        <w:bottom w:val="none" w:sz="0" w:space="0" w:color="auto"/>
        <w:right w:val="none" w:sz="0" w:space="0" w:color="auto"/>
      </w:divBdr>
    </w:div>
    <w:div w:id="1762409377">
      <w:bodyDiv w:val="1"/>
      <w:marLeft w:val="0"/>
      <w:marRight w:val="0"/>
      <w:marTop w:val="0"/>
      <w:marBottom w:val="0"/>
      <w:divBdr>
        <w:top w:val="none" w:sz="0" w:space="0" w:color="auto"/>
        <w:left w:val="none" w:sz="0" w:space="0" w:color="auto"/>
        <w:bottom w:val="none" w:sz="0" w:space="0" w:color="auto"/>
        <w:right w:val="none" w:sz="0" w:space="0" w:color="auto"/>
      </w:divBdr>
    </w:div>
    <w:div w:id="1773159275">
      <w:bodyDiv w:val="1"/>
      <w:marLeft w:val="0"/>
      <w:marRight w:val="0"/>
      <w:marTop w:val="0"/>
      <w:marBottom w:val="0"/>
      <w:divBdr>
        <w:top w:val="none" w:sz="0" w:space="0" w:color="auto"/>
        <w:left w:val="none" w:sz="0" w:space="0" w:color="auto"/>
        <w:bottom w:val="none" w:sz="0" w:space="0" w:color="auto"/>
        <w:right w:val="none" w:sz="0" w:space="0" w:color="auto"/>
      </w:divBdr>
    </w:div>
    <w:div w:id="1777872340">
      <w:bodyDiv w:val="1"/>
      <w:marLeft w:val="0"/>
      <w:marRight w:val="0"/>
      <w:marTop w:val="0"/>
      <w:marBottom w:val="0"/>
      <w:divBdr>
        <w:top w:val="none" w:sz="0" w:space="0" w:color="auto"/>
        <w:left w:val="none" w:sz="0" w:space="0" w:color="auto"/>
        <w:bottom w:val="none" w:sz="0" w:space="0" w:color="auto"/>
        <w:right w:val="none" w:sz="0" w:space="0" w:color="auto"/>
      </w:divBdr>
    </w:div>
    <w:div w:id="1783843125">
      <w:bodyDiv w:val="1"/>
      <w:marLeft w:val="0"/>
      <w:marRight w:val="0"/>
      <w:marTop w:val="0"/>
      <w:marBottom w:val="0"/>
      <w:divBdr>
        <w:top w:val="none" w:sz="0" w:space="0" w:color="auto"/>
        <w:left w:val="none" w:sz="0" w:space="0" w:color="auto"/>
        <w:bottom w:val="none" w:sz="0" w:space="0" w:color="auto"/>
        <w:right w:val="none" w:sz="0" w:space="0" w:color="auto"/>
      </w:divBdr>
    </w:div>
    <w:div w:id="1868566584">
      <w:bodyDiv w:val="1"/>
      <w:marLeft w:val="0"/>
      <w:marRight w:val="0"/>
      <w:marTop w:val="0"/>
      <w:marBottom w:val="0"/>
      <w:divBdr>
        <w:top w:val="none" w:sz="0" w:space="0" w:color="auto"/>
        <w:left w:val="none" w:sz="0" w:space="0" w:color="auto"/>
        <w:bottom w:val="none" w:sz="0" w:space="0" w:color="auto"/>
        <w:right w:val="none" w:sz="0" w:space="0" w:color="auto"/>
      </w:divBdr>
      <w:divsChild>
        <w:div w:id="1968511489">
          <w:marLeft w:val="0"/>
          <w:marRight w:val="0"/>
          <w:marTop w:val="0"/>
          <w:marBottom w:val="0"/>
          <w:divBdr>
            <w:top w:val="none" w:sz="0" w:space="0" w:color="auto"/>
            <w:left w:val="none" w:sz="0" w:space="0" w:color="auto"/>
            <w:bottom w:val="none" w:sz="0" w:space="0" w:color="auto"/>
            <w:right w:val="none" w:sz="0" w:space="0" w:color="auto"/>
          </w:divBdr>
          <w:divsChild>
            <w:div w:id="1353415758">
              <w:marLeft w:val="0"/>
              <w:marRight w:val="0"/>
              <w:marTop w:val="0"/>
              <w:marBottom w:val="180"/>
              <w:divBdr>
                <w:top w:val="none" w:sz="0" w:space="0" w:color="auto"/>
                <w:left w:val="none" w:sz="0" w:space="0" w:color="auto"/>
                <w:bottom w:val="none" w:sz="0" w:space="0" w:color="auto"/>
                <w:right w:val="none" w:sz="0" w:space="0" w:color="auto"/>
              </w:divBdr>
              <w:divsChild>
                <w:div w:id="131232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218570">
      <w:bodyDiv w:val="1"/>
      <w:marLeft w:val="0"/>
      <w:marRight w:val="0"/>
      <w:marTop w:val="0"/>
      <w:marBottom w:val="0"/>
      <w:divBdr>
        <w:top w:val="none" w:sz="0" w:space="0" w:color="auto"/>
        <w:left w:val="none" w:sz="0" w:space="0" w:color="auto"/>
        <w:bottom w:val="none" w:sz="0" w:space="0" w:color="auto"/>
        <w:right w:val="none" w:sz="0" w:space="0" w:color="auto"/>
      </w:divBdr>
    </w:div>
    <w:div w:id="1876846948">
      <w:bodyDiv w:val="1"/>
      <w:marLeft w:val="0"/>
      <w:marRight w:val="0"/>
      <w:marTop w:val="0"/>
      <w:marBottom w:val="0"/>
      <w:divBdr>
        <w:top w:val="none" w:sz="0" w:space="0" w:color="auto"/>
        <w:left w:val="none" w:sz="0" w:space="0" w:color="auto"/>
        <w:bottom w:val="none" w:sz="0" w:space="0" w:color="auto"/>
        <w:right w:val="none" w:sz="0" w:space="0" w:color="auto"/>
      </w:divBdr>
    </w:div>
    <w:div w:id="1906405295">
      <w:bodyDiv w:val="1"/>
      <w:marLeft w:val="0"/>
      <w:marRight w:val="0"/>
      <w:marTop w:val="0"/>
      <w:marBottom w:val="0"/>
      <w:divBdr>
        <w:top w:val="none" w:sz="0" w:space="0" w:color="auto"/>
        <w:left w:val="none" w:sz="0" w:space="0" w:color="auto"/>
        <w:bottom w:val="none" w:sz="0" w:space="0" w:color="auto"/>
        <w:right w:val="none" w:sz="0" w:space="0" w:color="auto"/>
      </w:divBdr>
    </w:div>
    <w:div w:id="1934508525">
      <w:bodyDiv w:val="1"/>
      <w:marLeft w:val="0"/>
      <w:marRight w:val="0"/>
      <w:marTop w:val="0"/>
      <w:marBottom w:val="0"/>
      <w:divBdr>
        <w:top w:val="none" w:sz="0" w:space="0" w:color="auto"/>
        <w:left w:val="none" w:sz="0" w:space="0" w:color="auto"/>
        <w:bottom w:val="none" w:sz="0" w:space="0" w:color="auto"/>
        <w:right w:val="none" w:sz="0" w:space="0" w:color="auto"/>
      </w:divBdr>
    </w:div>
    <w:div w:id="1951233442">
      <w:bodyDiv w:val="1"/>
      <w:marLeft w:val="0"/>
      <w:marRight w:val="0"/>
      <w:marTop w:val="0"/>
      <w:marBottom w:val="0"/>
      <w:divBdr>
        <w:top w:val="none" w:sz="0" w:space="0" w:color="auto"/>
        <w:left w:val="none" w:sz="0" w:space="0" w:color="auto"/>
        <w:bottom w:val="none" w:sz="0" w:space="0" w:color="auto"/>
        <w:right w:val="none" w:sz="0" w:space="0" w:color="auto"/>
      </w:divBdr>
      <w:divsChild>
        <w:div w:id="1549561164">
          <w:marLeft w:val="0"/>
          <w:marRight w:val="0"/>
          <w:marTop w:val="0"/>
          <w:marBottom w:val="0"/>
          <w:divBdr>
            <w:top w:val="none" w:sz="0" w:space="0" w:color="auto"/>
            <w:left w:val="none" w:sz="0" w:space="0" w:color="auto"/>
            <w:bottom w:val="none" w:sz="0" w:space="0" w:color="auto"/>
            <w:right w:val="none" w:sz="0" w:space="0" w:color="auto"/>
          </w:divBdr>
          <w:divsChild>
            <w:div w:id="1049261590">
              <w:marLeft w:val="0"/>
              <w:marRight w:val="0"/>
              <w:marTop w:val="0"/>
              <w:marBottom w:val="180"/>
              <w:divBdr>
                <w:top w:val="none" w:sz="0" w:space="0" w:color="auto"/>
                <w:left w:val="none" w:sz="0" w:space="0" w:color="auto"/>
                <w:bottom w:val="none" w:sz="0" w:space="0" w:color="auto"/>
                <w:right w:val="none" w:sz="0" w:space="0" w:color="auto"/>
              </w:divBdr>
              <w:divsChild>
                <w:div w:id="167210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581975">
      <w:bodyDiv w:val="1"/>
      <w:marLeft w:val="0"/>
      <w:marRight w:val="0"/>
      <w:marTop w:val="0"/>
      <w:marBottom w:val="0"/>
      <w:divBdr>
        <w:top w:val="none" w:sz="0" w:space="0" w:color="auto"/>
        <w:left w:val="none" w:sz="0" w:space="0" w:color="auto"/>
        <w:bottom w:val="none" w:sz="0" w:space="0" w:color="auto"/>
        <w:right w:val="none" w:sz="0" w:space="0" w:color="auto"/>
      </w:divBdr>
    </w:div>
    <w:div w:id="2072654220">
      <w:bodyDiv w:val="1"/>
      <w:marLeft w:val="0"/>
      <w:marRight w:val="0"/>
      <w:marTop w:val="0"/>
      <w:marBottom w:val="0"/>
      <w:divBdr>
        <w:top w:val="none" w:sz="0" w:space="0" w:color="auto"/>
        <w:left w:val="none" w:sz="0" w:space="0" w:color="auto"/>
        <w:bottom w:val="none" w:sz="0" w:space="0" w:color="auto"/>
        <w:right w:val="none" w:sz="0" w:space="0" w:color="auto"/>
      </w:divBdr>
    </w:div>
    <w:div w:id="2120026381">
      <w:bodyDiv w:val="1"/>
      <w:marLeft w:val="0"/>
      <w:marRight w:val="0"/>
      <w:marTop w:val="0"/>
      <w:marBottom w:val="0"/>
      <w:divBdr>
        <w:top w:val="none" w:sz="0" w:space="0" w:color="auto"/>
        <w:left w:val="none" w:sz="0" w:space="0" w:color="auto"/>
        <w:bottom w:val="none" w:sz="0" w:space="0" w:color="auto"/>
        <w:right w:val="none" w:sz="0" w:space="0" w:color="auto"/>
      </w:divBdr>
    </w:div>
    <w:div w:id="2134131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kaushi.ken@nims.go.jp" TargetMode="Externa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6.tif"/><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i.org/10.1039/tf95955009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ECA309-3A52-43E7-B2E1-1670BFEF6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24</Pages>
  <Words>5205</Words>
  <Characters>29670</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CASTRO GARCIA Abraham</dc:creator>
  <cp:keywords/>
  <dc:description/>
  <cp:lastModifiedBy>SAKAUSHI Ken</cp:lastModifiedBy>
  <cp:revision>76</cp:revision>
  <dcterms:created xsi:type="dcterms:W3CDTF">2025-04-16T05:50:00Z</dcterms:created>
  <dcterms:modified xsi:type="dcterms:W3CDTF">2025-05-13T03:26:00Z</dcterms:modified>
</cp:coreProperties>
</file>