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B5E1B" w14:textId="344C4213" w:rsidR="00FD178A" w:rsidRPr="00515E43" w:rsidRDefault="002A429F" w:rsidP="00BE7461">
      <w:pPr>
        <w:pStyle w:val="Heading1"/>
        <w:spacing w:after="200"/>
        <w:rPr>
          <w:sz w:val="28"/>
          <w:szCs w:val="28"/>
        </w:rPr>
      </w:pPr>
      <w:r w:rsidRPr="002A429F">
        <w:rPr>
          <w:sz w:val="28"/>
          <w:szCs w:val="28"/>
        </w:rPr>
        <w:t>Machine Learning Assisted Optimization of SmFe</w:t>
      </w:r>
      <w:r w:rsidRPr="002A429F">
        <w:rPr>
          <w:sz w:val="28"/>
          <w:szCs w:val="28"/>
          <w:vertAlign w:val="subscript"/>
        </w:rPr>
        <w:t>12</w:t>
      </w:r>
      <w:r w:rsidRPr="002A429F">
        <w:rPr>
          <w:sz w:val="28"/>
          <w:szCs w:val="28"/>
        </w:rPr>
        <w:t>-based Alloys</w:t>
      </w:r>
    </w:p>
    <w:p w14:paraId="09A6D463" w14:textId="3BB503EF" w:rsidR="003E2FB0" w:rsidRPr="003E2FB0" w:rsidRDefault="003E2FB0" w:rsidP="001E3C92">
      <w:pPr>
        <w:jc w:val="center"/>
      </w:pPr>
      <w:r w:rsidRPr="003E2FB0">
        <w:t>A. Bolyachkin</w:t>
      </w:r>
      <w:r w:rsidR="002A429F" w:rsidRPr="0067024E">
        <w:rPr>
          <w:sz w:val="20"/>
          <w:szCs w:val="20"/>
        </w:rPr>
        <w:t>*</w:t>
      </w:r>
      <w:r w:rsidRPr="003E2FB0">
        <w:t xml:space="preserve">, </w:t>
      </w:r>
      <w:r w:rsidR="00713EF1" w:rsidRPr="003E2FB0">
        <w:t xml:space="preserve">T. </w:t>
      </w:r>
      <w:proofErr w:type="spellStart"/>
      <w:r w:rsidR="00713EF1" w:rsidRPr="003E2FB0">
        <w:t>Subagja</w:t>
      </w:r>
      <w:proofErr w:type="spellEnd"/>
      <w:r w:rsidR="00713EF1" w:rsidRPr="003E2FB0">
        <w:t xml:space="preserve">, </w:t>
      </w:r>
      <w:r w:rsidRPr="003E2FB0">
        <w:t xml:space="preserve">J. Li, J.S. Zhang, A.K. Srinithi, T. Abe, Xin Tang, P. </w:t>
      </w:r>
      <w:proofErr w:type="spellStart"/>
      <w:r w:rsidRPr="003E2FB0">
        <w:t>Tozman</w:t>
      </w:r>
      <w:proofErr w:type="spellEnd"/>
      <w:r w:rsidRPr="003E2FB0">
        <w:t>,</w:t>
      </w:r>
      <w:r w:rsidRPr="003E2FB0">
        <w:br/>
        <w:t xml:space="preserve">N. Kulesh, H. </w:t>
      </w:r>
      <w:proofErr w:type="spellStart"/>
      <w:r w:rsidRPr="003E2FB0">
        <w:t>Sepehri</w:t>
      </w:r>
      <w:proofErr w:type="spellEnd"/>
      <w:r w:rsidRPr="003E2FB0">
        <w:t>-Amin, T. Ohkubo, and K. Hono</w:t>
      </w:r>
    </w:p>
    <w:p w14:paraId="6E4AEB9F" w14:textId="449B627E" w:rsidR="0000257E" w:rsidRDefault="002A429F" w:rsidP="00843C99">
      <w:pPr>
        <w:spacing w:after="0"/>
        <w:jc w:val="center"/>
        <w:rPr>
          <w:i/>
        </w:rPr>
      </w:pPr>
      <w:r>
        <w:rPr>
          <w:i/>
        </w:rPr>
        <w:t>National Institute for Materials Science</w:t>
      </w:r>
      <w:r w:rsidR="001E3C92" w:rsidRPr="001E3C92">
        <w:rPr>
          <w:i/>
        </w:rPr>
        <w:t>, Tsukuba 305-0047, Japan</w:t>
      </w:r>
    </w:p>
    <w:p w14:paraId="19159414" w14:textId="61B507CF" w:rsidR="000E5DA5" w:rsidRPr="002343EB" w:rsidRDefault="000E5DA5" w:rsidP="000E5DA5">
      <w:pPr>
        <w:spacing w:after="0"/>
        <w:jc w:val="center"/>
        <w:rPr>
          <w:i/>
        </w:rPr>
      </w:pPr>
      <w:r>
        <w:rPr>
          <w:i/>
        </w:rPr>
        <w:t>*</w:t>
      </w:r>
      <w:r w:rsidR="001E3C92" w:rsidRPr="001E3C92">
        <w:rPr>
          <w:i/>
          <w:u w:val="single"/>
        </w:rPr>
        <w:t>bolyachkin.anton@nims.go.jp</w:t>
      </w:r>
    </w:p>
    <w:p w14:paraId="29556890" w14:textId="77777777" w:rsidR="0000257E" w:rsidRDefault="0000257E" w:rsidP="0000257E"/>
    <w:p w14:paraId="6044F639" w14:textId="2C9CB9EE" w:rsidR="00DC692B" w:rsidRDefault="00C155AC" w:rsidP="000C0099">
      <w:pPr>
        <w:spacing w:line="276" w:lineRule="auto"/>
        <w:rPr>
          <w:rFonts w:cs="Times New Roman"/>
        </w:rPr>
      </w:pPr>
      <w:r w:rsidRPr="000C0099">
        <w:rPr>
          <w:rFonts w:cs="Times New Roman"/>
        </w:rPr>
        <w:t>SmFe</w:t>
      </w:r>
      <w:r w:rsidRPr="000C0099">
        <w:rPr>
          <w:rFonts w:cs="Times New Roman"/>
          <w:vertAlign w:val="subscript"/>
        </w:rPr>
        <w:t>12</w:t>
      </w:r>
      <w:r w:rsidRPr="000C0099">
        <w:rPr>
          <w:rFonts w:cs="Times New Roman"/>
        </w:rPr>
        <w:t>-based alloys with ThMn</w:t>
      </w:r>
      <w:r w:rsidRPr="000C0099">
        <w:rPr>
          <w:rFonts w:cs="Times New Roman"/>
          <w:vertAlign w:val="subscript"/>
        </w:rPr>
        <w:t>12</w:t>
      </w:r>
      <w:r w:rsidRPr="000C0099">
        <w:rPr>
          <w:rFonts w:cs="Times New Roman"/>
        </w:rPr>
        <w:t xml:space="preserve">-type crystal structure (1:12) are among the most </w:t>
      </w:r>
      <w:r w:rsidR="00713EF1" w:rsidRPr="000C0099">
        <w:rPr>
          <w:rFonts w:cs="Times New Roman"/>
        </w:rPr>
        <w:t>intriguing</w:t>
      </w:r>
      <w:r w:rsidRPr="000C0099">
        <w:rPr>
          <w:rFonts w:cs="Times New Roman"/>
        </w:rPr>
        <w:t xml:space="preserve"> hard magnetic materials</w:t>
      </w:r>
      <w:r w:rsidR="00CC743E" w:rsidRPr="000C0099">
        <w:rPr>
          <w:rFonts w:cs="Times New Roman"/>
        </w:rPr>
        <w:t xml:space="preserve"> [1]</w:t>
      </w:r>
      <w:r w:rsidR="0068727B" w:rsidRPr="000C0099">
        <w:rPr>
          <w:rFonts w:cs="Times New Roman"/>
        </w:rPr>
        <w:t xml:space="preserve">, whose </w:t>
      </w:r>
      <w:r w:rsidR="00713EF1" w:rsidRPr="000C0099">
        <w:rPr>
          <w:rFonts w:cs="Times New Roman"/>
        </w:rPr>
        <w:t>remarkable intrinsic magnetic properties (</w:t>
      </w:r>
      <w:r w:rsidR="00713EF1" w:rsidRPr="000C0099">
        <w:rPr>
          <w:rFonts w:cs="Times New Roman"/>
          <w:i/>
          <w:iCs/>
        </w:rPr>
        <w:t>µ</w:t>
      </w:r>
      <w:r w:rsidR="0068727B" w:rsidRPr="000C0099">
        <w:rPr>
          <w:rFonts w:cs="Times New Roman"/>
          <w:vertAlign w:val="subscript"/>
        </w:rPr>
        <w:t>0</w:t>
      </w:r>
      <w:r w:rsidR="00713EF1" w:rsidRPr="000C0099">
        <w:rPr>
          <w:rFonts w:cs="Times New Roman"/>
          <w:i/>
          <w:iCs/>
        </w:rPr>
        <w:t>M</w:t>
      </w:r>
      <w:r w:rsidR="00713EF1" w:rsidRPr="000C0099">
        <w:rPr>
          <w:rFonts w:cs="Times New Roman"/>
          <w:i/>
          <w:iCs/>
          <w:vertAlign w:val="subscript"/>
        </w:rPr>
        <w:t>s</w:t>
      </w:r>
      <w:r w:rsidR="00713EF1" w:rsidRPr="000C0099">
        <w:rPr>
          <w:rFonts w:cs="Times New Roman"/>
        </w:rPr>
        <w:t xml:space="preserve"> = 1.64 T, </w:t>
      </w:r>
      <w:r w:rsidR="0068727B" w:rsidRPr="000C0099">
        <w:rPr>
          <w:rFonts w:cs="Times New Roman"/>
          <w:i/>
          <w:iCs/>
        </w:rPr>
        <w:t>µ</w:t>
      </w:r>
      <w:r w:rsidR="0068727B" w:rsidRPr="000C0099">
        <w:rPr>
          <w:rFonts w:cs="Times New Roman"/>
          <w:vertAlign w:val="subscript"/>
        </w:rPr>
        <w:t>0</w:t>
      </w:r>
      <w:r w:rsidR="00713EF1" w:rsidRPr="000C0099">
        <w:rPr>
          <w:rFonts w:cs="Times New Roman"/>
          <w:i/>
          <w:iCs/>
        </w:rPr>
        <w:t>H</w:t>
      </w:r>
      <w:r w:rsidR="00713EF1" w:rsidRPr="000C0099">
        <w:rPr>
          <w:rFonts w:cs="Times New Roman"/>
          <w:i/>
          <w:iCs/>
          <w:vertAlign w:val="subscript"/>
        </w:rPr>
        <w:t>a</w:t>
      </w:r>
      <w:r w:rsidR="00713EF1" w:rsidRPr="000C0099">
        <w:rPr>
          <w:rFonts w:cs="Times New Roman"/>
        </w:rPr>
        <w:t xml:space="preserve"> = 12 T,</w:t>
      </w:r>
      <w:r w:rsidR="0068727B" w:rsidRPr="000C0099">
        <w:rPr>
          <w:rFonts w:cs="Times New Roman"/>
        </w:rPr>
        <w:t xml:space="preserve"> and</w:t>
      </w:r>
      <w:r w:rsidR="00713EF1" w:rsidRPr="000C0099">
        <w:rPr>
          <w:rFonts w:cs="Times New Roman"/>
        </w:rPr>
        <w:t xml:space="preserve"> </w:t>
      </w:r>
      <w:r w:rsidR="00713EF1" w:rsidRPr="000C0099">
        <w:rPr>
          <w:rFonts w:cs="Times New Roman"/>
          <w:i/>
          <w:iCs/>
        </w:rPr>
        <w:t>T</w:t>
      </w:r>
      <w:r w:rsidR="00713EF1" w:rsidRPr="000C0099">
        <w:rPr>
          <w:rFonts w:cs="Times New Roman"/>
          <w:i/>
          <w:iCs/>
          <w:vertAlign w:val="subscript"/>
        </w:rPr>
        <w:t>c</w:t>
      </w:r>
      <w:r w:rsidR="00713EF1" w:rsidRPr="000C0099">
        <w:rPr>
          <w:rFonts w:cs="Times New Roman"/>
        </w:rPr>
        <w:t xml:space="preserve"> = 555 K</w:t>
      </w:r>
      <w:r w:rsidR="0068727B" w:rsidRPr="000C0099">
        <w:rPr>
          <w:rFonts w:cs="Times New Roman"/>
        </w:rPr>
        <w:t xml:space="preserve"> for SmFe</w:t>
      </w:r>
      <w:r w:rsidR="0068727B" w:rsidRPr="000C0099">
        <w:rPr>
          <w:rFonts w:cs="Times New Roman"/>
          <w:vertAlign w:val="subscript"/>
        </w:rPr>
        <w:t>12</w:t>
      </w:r>
      <w:r w:rsidR="00713EF1" w:rsidRPr="000C0099">
        <w:rPr>
          <w:rFonts w:cs="Times New Roman"/>
        </w:rPr>
        <w:t xml:space="preserve"> [</w:t>
      </w:r>
      <w:r w:rsidR="00CC743E" w:rsidRPr="000C0099">
        <w:rPr>
          <w:rFonts w:cs="Times New Roman"/>
        </w:rPr>
        <w:t>2</w:t>
      </w:r>
      <w:r w:rsidR="00713EF1" w:rsidRPr="000C0099">
        <w:rPr>
          <w:rFonts w:cs="Times New Roman"/>
        </w:rPr>
        <w:t>])</w:t>
      </w:r>
      <w:r w:rsidR="0068727B" w:rsidRPr="000C0099">
        <w:rPr>
          <w:rFonts w:cs="Times New Roman"/>
        </w:rPr>
        <w:t xml:space="preserve"> are difficult to convert into </w:t>
      </w:r>
      <w:r w:rsidR="00E832F8">
        <w:rPr>
          <w:rFonts w:cs="Times New Roman"/>
        </w:rPr>
        <w:t>good</w:t>
      </w:r>
      <w:r w:rsidR="0068727B" w:rsidRPr="000C0099">
        <w:rPr>
          <w:rFonts w:cs="Times New Roman"/>
        </w:rPr>
        <w:t xml:space="preserve"> extrinsic magnetic performance </w:t>
      </w:r>
      <w:r w:rsidR="003E06E6" w:rsidRPr="000C0099">
        <w:rPr>
          <w:rFonts w:cs="Times New Roman"/>
        </w:rPr>
        <w:t>of the</w:t>
      </w:r>
      <w:r w:rsidR="0068727B" w:rsidRPr="000C0099">
        <w:rPr>
          <w:rFonts w:cs="Times New Roman"/>
        </w:rPr>
        <w:t xml:space="preserve"> bulk</w:t>
      </w:r>
      <w:r w:rsidR="003E06E6" w:rsidRPr="000C0099">
        <w:rPr>
          <w:rFonts w:cs="Times New Roman"/>
        </w:rPr>
        <w:t xml:space="preserve"> magnets</w:t>
      </w:r>
      <w:r w:rsidR="0068727B" w:rsidRPr="000C0099">
        <w:rPr>
          <w:rFonts w:cs="Times New Roman"/>
        </w:rPr>
        <w:t xml:space="preserve"> – high coercivity and </w:t>
      </w:r>
      <w:r w:rsidR="00E832F8">
        <w:rPr>
          <w:rFonts w:cs="Times New Roman"/>
        </w:rPr>
        <w:t>remanence</w:t>
      </w:r>
      <w:r w:rsidR="0068727B" w:rsidRPr="000C0099">
        <w:rPr>
          <w:rFonts w:cs="Times New Roman"/>
        </w:rPr>
        <w:t xml:space="preserve">. </w:t>
      </w:r>
      <w:r w:rsidR="003E06E6" w:rsidRPr="000C0099">
        <w:rPr>
          <w:rFonts w:cs="Times New Roman"/>
        </w:rPr>
        <w:t xml:space="preserve">The main obstacle comes from the instability of the </w:t>
      </w:r>
      <w:r w:rsidR="00165007" w:rsidRPr="000C0099">
        <w:rPr>
          <w:rFonts w:cs="Times New Roman"/>
        </w:rPr>
        <w:t>SmFe</w:t>
      </w:r>
      <w:r w:rsidR="00165007" w:rsidRPr="000C0099">
        <w:rPr>
          <w:rFonts w:cs="Times New Roman"/>
          <w:vertAlign w:val="subscript"/>
        </w:rPr>
        <w:t>12</w:t>
      </w:r>
      <w:r w:rsidR="003E06E6" w:rsidRPr="000C0099">
        <w:rPr>
          <w:rFonts w:cs="Times New Roman"/>
        </w:rPr>
        <w:t xml:space="preserve"> phase</w:t>
      </w:r>
      <w:r w:rsidR="00D652C0" w:rsidRPr="000C0099">
        <w:rPr>
          <w:rFonts w:cs="Times New Roman"/>
        </w:rPr>
        <w:t>,</w:t>
      </w:r>
      <w:r w:rsidR="003E06E6" w:rsidRPr="000C0099">
        <w:rPr>
          <w:rFonts w:cs="Times New Roman"/>
        </w:rPr>
        <w:t xml:space="preserve"> which requires </w:t>
      </w:r>
      <w:r w:rsidR="00CC743E" w:rsidRPr="000C0099">
        <w:rPr>
          <w:rFonts w:cs="Times New Roman"/>
        </w:rPr>
        <w:t xml:space="preserve">multiple substitutions, </w:t>
      </w:r>
      <w:r w:rsidR="00CC743E" w:rsidRPr="000C0099">
        <w:rPr>
          <w:rFonts w:cs="Times New Roman"/>
          <w:i/>
          <w:iCs/>
        </w:rPr>
        <w:t>e.g.</w:t>
      </w:r>
      <w:r w:rsidR="00CC743E" w:rsidRPr="000C0099">
        <w:rPr>
          <w:rFonts w:cs="Times New Roman"/>
        </w:rPr>
        <w:t>, (</w:t>
      </w:r>
      <w:proofErr w:type="spellStart"/>
      <w:proofErr w:type="gramStart"/>
      <w:r w:rsidR="00CC743E" w:rsidRPr="000C0099">
        <w:rPr>
          <w:rFonts w:cs="Times New Roman"/>
        </w:rPr>
        <w:t>Sm,Zr</w:t>
      </w:r>
      <w:proofErr w:type="spellEnd"/>
      <w:proofErr w:type="gramEnd"/>
      <w:r w:rsidR="00CC743E" w:rsidRPr="000C0099">
        <w:rPr>
          <w:rFonts w:cs="Times New Roman"/>
        </w:rPr>
        <w:t>)(</w:t>
      </w:r>
      <w:proofErr w:type="spellStart"/>
      <w:r w:rsidR="00CC743E" w:rsidRPr="000C0099">
        <w:rPr>
          <w:rFonts w:cs="Times New Roman"/>
        </w:rPr>
        <w:t>Fe,Co</w:t>
      </w:r>
      <w:proofErr w:type="spellEnd"/>
      <w:r w:rsidR="00CC743E" w:rsidRPr="000C0099">
        <w:rPr>
          <w:rFonts w:cs="Times New Roman"/>
        </w:rPr>
        <w:t>)</w:t>
      </w:r>
      <w:r w:rsidR="00CC743E" w:rsidRPr="000C0099">
        <w:rPr>
          <w:rFonts w:cs="Times New Roman"/>
          <w:vertAlign w:val="subscript"/>
        </w:rPr>
        <w:t>12-x</w:t>
      </w:r>
      <w:r w:rsidR="00CC743E" w:rsidRPr="000C0099">
        <w:rPr>
          <w:rFonts w:cs="Times New Roman"/>
        </w:rPr>
        <w:t>M</w:t>
      </w:r>
      <w:r w:rsidR="00CC743E" w:rsidRPr="000C0099">
        <w:rPr>
          <w:rFonts w:cs="Times New Roman"/>
          <w:vertAlign w:val="subscript"/>
        </w:rPr>
        <w:t>x</w:t>
      </w:r>
      <w:r w:rsidR="00CC743E" w:rsidRPr="000C0099">
        <w:rPr>
          <w:rFonts w:cs="Times New Roman"/>
        </w:rPr>
        <w:t xml:space="preserve">, where M are nonmagnetic elements </w:t>
      </w:r>
      <w:r w:rsidR="00D652C0" w:rsidRPr="000C0099">
        <w:rPr>
          <w:rFonts w:cs="Times New Roman"/>
        </w:rPr>
        <w:t>such as</w:t>
      </w:r>
      <w:r w:rsidR="00CC743E" w:rsidRPr="000C0099">
        <w:rPr>
          <w:rFonts w:cs="Times New Roman"/>
        </w:rPr>
        <w:t xml:space="preserve"> V, Ti, Mo, and others. </w:t>
      </w:r>
      <w:r w:rsidR="00D652C0" w:rsidRPr="000C0099">
        <w:rPr>
          <w:rFonts w:cs="Times New Roman"/>
        </w:rPr>
        <w:t>S</w:t>
      </w:r>
      <w:r w:rsidR="00CC743E" w:rsidRPr="000C0099">
        <w:rPr>
          <w:rFonts w:cs="Times New Roman"/>
        </w:rPr>
        <w:t>ophisticated optimization is needed to design a composition with</w:t>
      </w:r>
      <w:r w:rsidR="00F8707C" w:rsidRPr="000C0099">
        <w:rPr>
          <w:rFonts w:cs="Times New Roman"/>
        </w:rPr>
        <w:t xml:space="preserve"> </w:t>
      </w:r>
      <w:r w:rsidR="003E06E6" w:rsidRPr="000C0099">
        <w:rPr>
          <w:rFonts w:cs="Times New Roman"/>
        </w:rPr>
        <w:t xml:space="preserve">minimized </w:t>
      </w:r>
      <w:r w:rsidR="00F8707C" w:rsidRPr="000C0099">
        <w:rPr>
          <w:rFonts w:cs="Times New Roman"/>
        </w:rPr>
        <w:t>loss</w:t>
      </w:r>
      <w:r w:rsidR="00CC743E" w:rsidRPr="000C0099">
        <w:rPr>
          <w:rFonts w:cs="Times New Roman"/>
        </w:rPr>
        <w:t xml:space="preserve"> of magnetization</w:t>
      </w:r>
      <w:r w:rsidR="00F8707C" w:rsidRPr="000C0099">
        <w:rPr>
          <w:rFonts w:cs="Times New Roman"/>
        </w:rPr>
        <w:t xml:space="preserve"> and magnetic anisotropy</w:t>
      </w:r>
      <w:r w:rsidR="00CC743E" w:rsidRPr="000C0099">
        <w:rPr>
          <w:rFonts w:cs="Times New Roman"/>
        </w:rPr>
        <w:t xml:space="preserve">. </w:t>
      </w:r>
      <w:r w:rsidR="003E06E6" w:rsidRPr="000C0099">
        <w:rPr>
          <w:rFonts w:cs="Times New Roman"/>
        </w:rPr>
        <w:t>M</w:t>
      </w:r>
      <w:r w:rsidR="00CC743E" w:rsidRPr="000C0099">
        <w:rPr>
          <w:rFonts w:cs="Times New Roman"/>
        </w:rPr>
        <w:t xml:space="preserve">achine learning on large DFT-based datasets </w:t>
      </w:r>
      <w:r w:rsidR="00D652C0" w:rsidRPr="000C0099">
        <w:rPr>
          <w:rFonts w:cs="Times New Roman"/>
        </w:rPr>
        <w:t>h</w:t>
      </w:r>
      <w:r w:rsidR="00CC743E" w:rsidRPr="000C0099">
        <w:rPr>
          <w:rFonts w:cs="Times New Roman"/>
        </w:rPr>
        <w:t xml:space="preserve">as recently </w:t>
      </w:r>
      <w:r w:rsidR="00D652C0" w:rsidRPr="000C0099">
        <w:rPr>
          <w:rFonts w:cs="Times New Roman"/>
        </w:rPr>
        <w:t xml:space="preserve">been </w:t>
      </w:r>
      <w:r w:rsidR="00CC743E" w:rsidRPr="000C0099">
        <w:rPr>
          <w:rFonts w:cs="Times New Roman"/>
        </w:rPr>
        <w:t>employed to accelerate th</w:t>
      </w:r>
      <w:r w:rsidR="003E06E6" w:rsidRPr="000C0099">
        <w:rPr>
          <w:rFonts w:cs="Times New Roman"/>
        </w:rPr>
        <w:t>is</w:t>
      </w:r>
      <w:r w:rsidR="00DB105D" w:rsidRPr="000C0099">
        <w:rPr>
          <w:rFonts w:cs="Times New Roman"/>
        </w:rPr>
        <w:t xml:space="preserve"> optimization</w:t>
      </w:r>
      <w:r w:rsidR="00CC743E" w:rsidRPr="000C0099">
        <w:rPr>
          <w:rFonts w:cs="Times New Roman"/>
        </w:rPr>
        <w:t xml:space="preserve"> [</w:t>
      </w:r>
      <w:r w:rsidR="003E06E6" w:rsidRPr="000C0099">
        <w:rPr>
          <w:rFonts w:cs="Times New Roman"/>
        </w:rPr>
        <w:t>3</w:t>
      </w:r>
      <w:r w:rsidR="00CC743E" w:rsidRPr="000C0099">
        <w:rPr>
          <w:rFonts w:cs="Times New Roman"/>
        </w:rPr>
        <w:t xml:space="preserve">]. </w:t>
      </w:r>
      <w:r w:rsidR="00A5711C" w:rsidRPr="000C0099">
        <w:rPr>
          <w:rFonts w:cs="Times New Roman"/>
        </w:rPr>
        <w:t xml:space="preserve">However, there are other critical factors </w:t>
      </w:r>
      <w:r w:rsidR="000C0099">
        <w:rPr>
          <w:rFonts w:cs="Times New Roman"/>
        </w:rPr>
        <w:t>that</w:t>
      </w:r>
      <w:r w:rsidR="00A5711C" w:rsidRPr="000C0099">
        <w:rPr>
          <w:rFonts w:cs="Times New Roman"/>
        </w:rPr>
        <w:t xml:space="preserve"> should also</w:t>
      </w:r>
      <w:r w:rsidR="000C0099">
        <w:rPr>
          <w:rFonts w:cs="Times New Roman"/>
        </w:rPr>
        <w:t xml:space="preserve"> be</w:t>
      </w:r>
      <w:r w:rsidR="00A5711C" w:rsidRPr="000C0099">
        <w:rPr>
          <w:rFonts w:cs="Times New Roman"/>
        </w:rPr>
        <w:t xml:space="preserve"> </w:t>
      </w:r>
      <w:r w:rsidR="000C0099">
        <w:rPr>
          <w:rFonts w:cs="Times New Roman"/>
        </w:rPr>
        <w:t>considered</w:t>
      </w:r>
      <w:r w:rsidR="007D478A" w:rsidRPr="000C0099">
        <w:rPr>
          <w:rFonts w:cs="Times New Roman"/>
        </w:rPr>
        <w:t xml:space="preserve"> during the optimization</w:t>
      </w:r>
      <w:r w:rsidR="00F8707C" w:rsidRPr="000C0099">
        <w:rPr>
          <w:rFonts w:cs="Times New Roman"/>
        </w:rPr>
        <w:t xml:space="preserve"> </w:t>
      </w:r>
      <w:r w:rsidR="007D478A" w:rsidRPr="000C0099">
        <w:rPr>
          <w:rFonts w:cs="Times New Roman"/>
        </w:rPr>
        <w:t>– phase composition, separation of 1:12 grains with an intergranular phase</w:t>
      </w:r>
      <w:r w:rsidR="00726CA0" w:rsidRPr="000C0099">
        <w:rPr>
          <w:rFonts w:cs="Times New Roman"/>
        </w:rPr>
        <w:t xml:space="preserve"> [4]</w:t>
      </w:r>
      <w:r w:rsidR="007D478A" w:rsidRPr="000C0099">
        <w:rPr>
          <w:rFonts w:cs="Times New Roman"/>
        </w:rPr>
        <w:t>, crystallographic texture</w:t>
      </w:r>
      <w:r w:rsidR="000C0099">
        <w:rPr>
          <w:rFonts w:cs="Times New Roman"/>
        </w:rPr>
        <w:t>,</w:t>
      </w:r>
      <w:r w:rsidR="007D478A" w:rsidRPr="000C0099">
        <w:rPr>
          <w:rFonts w:cs="Times New Roman"/>
        </w:rPr>
        <w:t xml:space="preserve"> </w:t>
      </w:r>
      <w:r w:rsidR="007D478A" w:rsidRPr="000C0099">
        <w:rPr>
          <w:rFonts w:cs="Times New Roman"/>
          <w:i/>
          <w:iCs/>
        </w:rPr>
        <w:t>etc.</w:t>
      </w:r>
      <w:r w:rsidR="00165007">
        <w:rPr>
          <w:rFonts w:cs="Times New Roman"/>
          <w:i/>
          <w:iCs/>
        </w:rPr>
        <w:t xml:space="preserve"> </w:t>
      </w:r>
      <w:r w:rsidR="007D478A" w:rsidRPr="000C0099">
        <w:rPr>
          <w:rFonts w:cs="Times New Roman"/>
        </w:rPr>
        <w:t xml:space="preserve">To control these synthesis-related factors, </w:t>
      </w:r>
      <w:r w:rsidR="00473B17">
        <w:rPr>
          <w:rFonts w:cs="Times New Roman"/>
        </w:rPr>
        <w:t xml:space="preserve">in this work </w:t>
      </w:r>
      <w:r w:rsidR="00165007">
        <w:rPr>
          <w:rFonts w:cs="Times New Roman"/>
        </w:rPr>
        <w:t xml:space="preserve">we conducted machine learning on an experimental dataset. The </w:t>
      </w:r>
      <w:r w:rsidRPr="000C0099">
        <w:rPr>
          <w:rFonts w:cs="Times New Roman"/>
        </w:rPr>
        <w:t xml:space="preserve">dataset </w:t>
      </w:r>
      <w:r w:rsidR="003263FF">
        <w:rPr>
          <w:rFonts w:cs="Times New Roman"/>
        </w:rPr>
        <w:t>comprised</w:t>
      </w:r>
      <w:r w:rsidRPr="000C0099">
        <w:rPr>
          <w:rFonts w:cs="Times New Roman"/>
        </w:rPr>
        <w:t xml:space="preserve"> </w:t>
      </w:r>
      <w:r w:rsidR="00DC692B">
        <w:rPr>
          <w:rFonts w:cs="Times New Roman"/>
        </w:rPr>
        <w:t>908</w:t>
      </w:r>
      <w:r w:rsidRPr="000C0099">
        <w:rPr>
          <w:rFonts w:cs="Times New Roman"/>
        </w:rPr>
        <w:t xml:space="preserve"> samples collected from articles and our own experiment</w:t>
      </w:r>
      <w:r w:rsidR="00165007">
        <w:rPr>
          <w:rFonts w:cs="Times New Roman"/>
        </w:rPr>
        <w:t>s</w:t>
      </w:r>
      <w:r w:rsidRPr="000C0099">
        <w:rPr>
          <w:rFonts w:cs="Times New Roman"/>
        </w:rPr>
        <w:t xml:space="preserve"> on</w:t>
      </w:r>
      <w:r w:rsidR="00B245B5">
        <w:rPr>
          <w:rFonts w:cs="Times New Roman"/>
        </w:rPr>
        <w:t xml:space="preserve"> the</w:t>
      </w:r>
      <w:r w:rsidRPr="000C0099">
        <w:rPr>
          <w:rFonts w:cs="Times New Roman"/>
        </w:rPr>
        <w:t xml:space="preserve"> SmFe</w:t>
      </w:r>
      <w:r w:rsidRPr="000C0099">
        <w:rPr>
          <w:rFonts w:cs="Times New Roman"/>
          <w:vertAlign w:val="subscript"/>
        </w:rPr>
        <w:t>12</w:t>
      </w:r>
      <w:r w:rsidRPr="000C0099">
        <w:rPr>
          <w:rFonts w:cs="Times New Roman"/>
        </w:rPr>
        <w:t xml:space="preserve">-based alloys which were obtained either by mechanical alloying or by melt-spinning </w:t>
      </w:r>
      <w:r w:rsidR="00DC692B">
        <w:rPr>
          <w:rFonts w:cs="Times New Roman"/>
        </w:rPr>
        <w:t>followed by</w:t>
      </w:r>
      <w:r w:rsidRPr="000C0099">
        <w:rPr>
          <w:rFonts w:cs="Times New Roman"/>
        </w:rPr>
        <w:t xml:space="preserve"> heat treatment.</w:t>
      </w:r>
      <w:r w:rsidR="00165007">
        <w:rPr>
          <w:rFonts w:cs="Times New Roman"/>
        </w:rPr>
        <w:t xml:space="preserve"> </w:t>
      </w:r>
      <w:r w:rsidR="003263FF">
        <w:rPr>
          <w:rFonts w:cs="Times New Roman"/>
        </w:rPr>
        <w:t>The d</w:t>
      </w:r>
      <w:r w:rsidR="00B245B5">
        <w:rPr>
          <w:rFonts w:cs="Times New Roman"/>
        </w:rPr>
        <w:t xml:space="preserve">escriptor of each sample consisted of the chemical composition and synthesis details. </w:t>
      </w:r>
      <w:r w:rsidR="003263FF">
        <w:rPr>
          <w:rFonts w:cs="Times New Roman"/>
        </w:rPr>
        <w:t>The i</w:t>
      </w:r>
      <w:r w:rsidR="00B245B5">
        <w:rPr>
          <w:rFonts w:cs="Times New Roman"/>
        </w:rPr>
        <w:t>mportance of the features and their c</w:t>
      </w:r>
      <w:r w:rsidR="00165007">
        <w:rPr>
          <w:rFonts w:cs="Times New Roman"/>
        </w:rPr>
        <w:t>orrelations were analyzed</w:t>
      </w:r>
      <w:r w:rsidR="00B245B5">
        <w:rPr>
          <w:rFonts w:cs="Times New Roman"/>
        </w:rPr>
        <w:t>, then</w:t>
      </w:r>
      <w:r w:rsidR="00165007">
        <w:rPr>
          <w:rFonts w:cs="Times New Roman"/>
        </w:rPr>
        <w:t xml:space="preserve"> </w:t>
      </w:r>
      <w:r w:rsidR="00E978B1">
        <w:rPr>
          <w:rFonts w:cs="Times New Roman"/>
        </w:rPr>
        <w:t>two</w:t>
      </w:r>
      <w:r w:rsidR="00165007">
        <w:rPr>
          <w:rFonts w:cs="Times New Roman"/>
        </w:rPr>
        <w:t xml:space="preserve"> g</w:t>
      </w:r>
      <w:r w:rsidR="00165007" w:rsidRPr="000C0099">
        <w:rPr>
          <w:rFonts w:cs="Times New Roman"/>
        </w:rPr>
        <w:t xml:space="preserve">radient </w:t>
      </w:r>
      <w:r w:rsidR="00165007">
        <w:rPr>
          <w:rFonts w:cs="Times New Roman"/>
        </w:rPr>
        <w:t>b</w:t>
      </w:r>
      <w:r w:rsidR="00165007" w:rsidRPr="000C0099">
        <w:rPr>
          <w:rFonts w:cs="Times New Roman"/>
        </w:rPr>
        <w:t>oost</w:t>
      </w:r>
      <w:r w:rsidR="00E978B1">
        <w:rPr>
          <w:rFonts w:cs="Times New Roman"/>
        </w:rPr>
        <w:t>ing</w:t>
      </w:r>
      <w:r w:rsidR="00165007" w:rsidRPr="000C0099">
        <w:rPr>
          <w:rFonts w:cs="Times New Roman"/>
        </w:rPr>
        <w:t xml:space="preserve"> </w:t>
      </w:r>
      <w:r w:rsidR="00165007">
        <w:rPr>
          <w:rFonts w:cs="Times New Roman"/>
        </w:rPr>
        <w:t>r</w:t>
      </w:r>
      <w:r w:rsidR="00165007" w:rsidRPr="000C0099">
        <w:rPr>
          <w:rFonts w:cs="Times New Roman"/>
        </w:rPr>
        <w:t>egress</w:t>
      </w:r>
      <w:r w:rsidR="00E978B1">
        <w:rPr>
          <w:rFonts w:cs="Times New Roman"/>
        </w:rPr>
        <w:t>ors</w:t>
      </w:r>
      <w:r w:rsidR="00165007">
        <w:rPr>
          <w:rFonts w:cs="Times New Roman"/>
        </w:rPr>
        <w:t xml:space="preserve"> were trained to predict coercivity and </w:t>
      </w:r>
      <w:r w:rsidR="00B245B5">
        <w:rPr>
          <w:rFonts w:cs="Times New Roman"/>
        </w:rPr>
        <w:t>remanence</w:t>
      </w:r>
      <w:r w:rsidR="00E978B1">
        <w:rPr>
          <w:rFonts w:cs="Times New Roman"/>
        </w:rPr>
        <w:t xml:space="preserve"> as </w:t>
      </w:r>
      <w:r w:rsidR="003263FF">
        <w:rPr>
          <w:rFonts w:cs="Times New Roman"/>
        </w:rPr>
        <w:t xml:space="preserve">the main </w:t>
      </w:r>
      <w:r w:rsidR="00E978B1">
        <w:rPr>
          <w:rFonts w:cs="Times New Roman"/>
        </w:rPr>
        <w:t>targets</w:t>
      </w:r>
      <w:r w:rsidR="00165007">
        <w:rPr>
          <w:rFonts w:cs="Times New Roman"/>
        </w:rPr>
        <w:t xml:space="preserve">. </w:t>
      </w:r>
      <w:r w:rsidR="003263FF">
        <w:rPr>
          <w:rFonts w:cs="Times New Roman"/>
        </w:rPr>
        <w:t>Next,</w:t>
      </w:r>
      <w:r w:rsidR="00165007">
        <w:rPr>
          <w:rFonts w:cs="Times New Roman"/>
        </w:rPr>
        <w:t xml:space="preserve"> a large feature space</w:t>
      </w:r>
      <w:r w:rsidR="00E978B1">
        <w:rPr>
          <w:rFonts w:cs="Times New Roman"/>
        </w:rPr>
        <w:t xml:space="preserve"> of </w:t>
      </w:r>
      <w:r w:rsidR="00E978B1" w:rsidRPr="00E978B1">
        <w:rPr>
          <w:rFonts w:cs="Times New Roman"/>
        </w:rPr>
        <w:t>(</w:t>
      </w:r>
      <w:proofErr w:type="spellStart"/>
      <w:proofErr w:type="gramStart"/>
      <w:r w:rsidR="00E978B1" w:rsidRPr="00E978B1">
        <w:rPr>
          <w:rFonts w:cs="Times New Roman"/>
        </w:rPr>
        <w:t>Sm,Zr</w:t>
      </w:r>
      <w:proofErr w:type="spellEnd"/>
      <w:proofErr w:type="gramEnd"/>
      <w:r w:rsidR="00E978B1" w:rsidRPr="00E978B1">
        <w:rPr>
          <w:rFonts w:cs="Times New Roman"/>
        </w:rPr>
        <w:t>)</w:t>
      </w:r>
      <w:r w:rsidR="00E978B1" w:rsidRPr="00E978B1">
        <w:rPr>
          <w:rFonts w:cs="Times New Roman"/>
          <w:vertAlign w:val="subscript"/>
        </w:rPr>
        <w:t>x</w:t>
      </w:r>
      <w:r w:rsidR="00E978B1" w:rsidRPr="00E978B1">
        <w:rPr>
          <w:rFonts w:cs="Times New Roman"/>
        </w:rPr>
        <w:t>(</w:t>
      </w:r>
      <w:proofErr w:type="spellStart"/>
      <w:r w:rsidR="00E978B1" w:rsidRPr="00E978B1">
        <w:rPr>
          <w:rFonts w:cs="Times New Roman"/>
        </w:rPr>
        <w:t>Fe,Ti,V</w:t>
      </w:r>
      <w:proofErr w:type="spellEnd"/>
      <w:r w:rsidR="00E978B1" w:rsidRPr="00E978B1">
        <w:rPr>
          <w:rFonts w:cs="Times New Roman"/>
        </w:rPr>
        <w:t>)</w:t>
      </w:r>
      <w:r w:rsidR="00E978B1" w:rsidRPr="00E978B1">
        <w:rPr>
          <w:rFonts w:cs="Times New Roman"/>
          <w:vertAlign w:val="subscript"/>
        </w:rPr>
        <w:t>100-x</w:t>
      </w:r>
      <w:r w:rsidR="00E978B1">
        <w:rPr>
          <w:rFonts w:cs="Times New Roman"/>
        </w:rPr>
        <w:t xml:space="preserve"> melt spun samples </w:t>
      </w:r>
      <w:r w:rsidR="00E832F8">
        <w:rPr>
          <w:rFonts w:cs="Times New Roman"/>
        </w:rPr>
        <w:t>with annealing</w:t>
      </w:r>
      <w:r w:rsidR="00E978B1">
        <w:rPr>
          <w:rFonts w:cs="Times New Roman"/>
        </w:rPr>
        <w:t xml:space="preserve"> temperature</w:t>
      </w:r>
      <w:r w:rsidR="00E832F8">
        <w:rPr>
          <w:rFonts w:cs="Times New Roman"/>
        </w:rPr>
        <w:t>s</w:t>
      </w:r>
      <w:r w:rsidR="00E978B1">
        <w:rPr>
          <w:rFonts w:cs="Times New Roman"/>
        </w:rPr>
        <w:t xml:space="preserve"> </w:t>
      </w:r>
      <w:r w:rsidR="00E832F8">
        <w:rPr>
          <w:rFonts w:cs="Times New Roman"/>
        </w:rPr>
        <w:t>ranging</w:t>
      </w:r>
      <w:r w:rsidR="00E978B1">
        <w:rPr>
          <w:rFonts w:cs="Times New Roman"/>
        </w:rPr>
        <w:t xml:space="preserve"> from </w:t>
      </w:r>
      <w:r w:rsidR="00E978B1" w:rsidRPr="00E978B1">
        <w:rPr>
          <w:rFonts w:cs="Times New Roman"/>
        </w:rPr>
        <w:t>923</w:t>
      </w:r>
      <w:r w:rsidR="00E978B1">
        <w:rPr>
          <w:rFonts w:cs="Times New Roman"/>
        </w:rPr>
        <w:t xml:space="preserve"> to</w:t>
      </w:r>
      <w:r w:rsidR="00E978B1" w:rsidRPr="00E978B1">
        <w:rPr>
          <w:rFonts w:cs="Times New Roman"/>
        </w:rPr>
        <w:t xml:space="preserve"> 1373 K</w:t>
      </w:r>
      <w:r w:rsidR="00165007">
        <w:rPr>
          <w:rFonts w:cs="Times New Roman"/>
        </w:rPr>
        <w:t xml:space="preserve"> </w:t>
      </w:r>
      <w:r w:rsidR="00E978B1">
        <w:rPr>
          <w:rFonts w:cs="Times New Roman"/>
        </w:rPr>
        <w:t>(≈</w:t>
      </w:r>
      <w:r w:rsidR="00B245B5">
        <w:rPr>
          <w:rFonts w:cs="Times New Roman"/>
        </w:rPr>
        <w:t>57·10</w:t>
      </w:r>
      <w:r w:rsidR="00B245B5" w:rsidRPr="00B245B5">
        <w:rPr>
          <w:rFonts w:cs="Times New Roman"/>
          <w:vertAlign w:val="superscript"/>
        </w:rPr>
        <w:t>6</w:t>
      </w:r>
      <w:r w:rsidR="00B245B5">
        <w:rPr>
          <w:rFonts w:cs="Times New Roman"/>
        </w:rPr>
        <w:t xml:space="preserve"> candidates</w:t>
      </w:r>
      <w:r w:rsidR="00E978B1">
        <w:rPr>
          <w:rFonts w:cs="Times New Roman"/>
        </w:rPr>
        <w:t xml:space="preserve"> in total)</w:t>
      </w:r>
      <w:r w:rsidR="003263FF">
        <w:rPr>
          <w:rFonts w:cs="Times New Roman"/>
        </w:rPr>
        <w:t xml:space="preserve"> was examined</w:t>
      </w:r>
      <w:r w:rsidR="00B245B5">
        <w:rPr>
          <w:rFonts w:cs="Times New Roman"/>
        </w:rPr>
        <w:t xml:space="preserve"> to define </w:t>
      </w:r>
      <w:r w:rsidR="00E978B1">
        <w:rPr>
          <w:rFonts w:cs="Times New Roman"/>
        </w:rPr>
        <w:t>a</w:t>
      </w:r>
      <w:r w:rsidR="00B245B5">
        <w:rPr>
          <w:rFonts w:cs="Times New Roman"/>
        </w:rPr>
        <w:t xml:space="preserve"> Pareto front of </w:t>
      </w:r>
      <w:r w:rsidR="00E978B1">
        <w:rPr>
          <w:rFonts w:cs="Times New Roman"/>
        </w:rPr>
        <w:t>the competing</w:t>
      </w:r>
      <w:r w:rsidR="00B245B5">
        <w:rPr>
          <w:rFonts w:cs="Times New Roman"/>
        </w:rPr>
        <w:t xml:space="preserve"> targets</w:t>
      </w:r>
      <w:r w:rsidR="00E978B1">
        <w:rPr>
          <w:rFonts w:cs="Times New Roman"/>
        </w:rPr>
        <w:t xml:space="preserve">. </w:t>
      </w:r>
      <w:r w:rsidR="00740C6E">
        <w:rPr>
          <w:rFonts w:cs="Times New Roman"/>
        </w:rPr>
        <w:t>Finally</w:t>
      </w:r>
      <w:r w:rsidR="003263FF">
        <w:rPr>
          <w:rFonts w:cs="Times New Roman"/>
        </w:rPr>
        <w:t xml:space="preserve">, </w:t>
      </w:r>
      <w:r w:rsidR="00740C6E">
        <w:rPr>
          <w:rFonts w:cs="Times New Roman"/>
        </w:rPr>
        <w:t xml:space="preserve">we </w:t>
      </w:r>
      <w:r w:rsidR="00E832F8">
        <w:rPr>
          <w:rFonts w:cs="Times New Roman"/>
        </w:rPr>
        <w:t>proposed</w:t>
      </w:r>
      <w:r w:rsidR="003263FF">
        <w:rPr>
          <w:rFonts w:cs="Times New Roman"/>
        </w:rPr>
        <w:t xml:space="preserve"> a</w:t>
      </w:r>
      <w:r w:rsidR="00B245B5">
        <w:rPr>
          <w:rFonts w:cs="Times New Roman"/>
        </w:rPr>
        <w:t xml:space="preserve"> </w:t>
      </w:r>
      <w:r w:rsidR="00E978B1">
        <w:rPr>
          <w:rFonts w:cs="Times New Roman"/>
        </w:rPr>
        <w:t xml:space="preserve">list of the </w:t>
      </w:r>
      <w:r w:rsidR="00B245B5">
        <w:rPr>
          <w:rFonts w:cs="Times New Roman"/>
        </w:rPr>
        <w:t>most prospective alloys</w:t>
      </w:r>
      <w:r w:rsidR="00E978B1">
        <w:rPr>
          <w:rFonts w:cs="Times New Roman"/>
        </w:rPr>
        <w:t xml:space="preserve"> for an experimental validation</w:t>
      </w:r>
      <w:r w:rsidR="00740C6E">
        <w:rPr>
          <w:rFonts w:cs="Times New Roman"/>
        </w:rPr>
        <w:t xml:space="preserve">, the </w:t>
      </w:r>
      <w:r w:rsidR="00E978B1">
        <w:rPr>
          <w:rFonts w:cs="Times New Roman"/>
        </w:rPr>
        <w:t xml:space="preserve">results </w:t>
      </w:r>
      <w:r w:rsidR="00740C6E">
        <w:rPr>
          <w:rFonts w:cs="Times New Roman"/>
        </w:rPr>
        <w:t xml:space="preserve">of which </w:t>
      </w:r>
      <w:r w:rsidR="00E978B1">
        <w:rPr>
          <w:rFonts w:cs="Times New Roman"/>
        </w:rPr>
        <w:t>will be reported</w:t>
      </w:r>
      <w:r w:rsidR="00740C6E">
        <w:rPr>
          <w:rFonts w:cs="Times New Roman"/>
        </w:rPr>
        <w:t>,</w:t>
      </w:r>
      <w:r w:rsidR="00E978B1">
        <w:rPr>
          <w:rFonts w:cs="Times New Roman"/>
        </w:rPr>
        <w:t xml:space="preserve"> as well as other de</w:t>
      </w:r>
      <w:r w:rsidR="00B245B5">
        <w:rPr>
          <w:rFonts w:cs="Times New Roman"/>
        </w:rPr>
        <w:t xml:space="preserve">tails of the machine learning on </w:t>
      </w:r>
      <w:r w:rsidR="00E978B1">
        <w:rPr>
          <w:rFonts w:cs="Times New Roman"/>
        </w:rPr>
        <w:t xml:space="preserve">the </w:t>
      </w:r>
      <w:r w:rsidR="00B245B5">
        <w:rPr>
          <w:rFonts w:cs="Times New Roman"/>
        </w:rPr>
        <w:t>SmFe</w:t>
      </w:r>
      <w:r w:rsidR="00B245B5" w:rsidRPr="00E978B1">
        <w:rPr>
          <w:rFonts w:cs="Times New Roman"/>
          <w:vertAlign w:val="subscript"/>
        </w:rPr>
        <w:t>12</w:t>
      </w:r>
      <w:r w:rsidR="00B245B5">
        <w:rPr>
          <w:rFonts w:cs="Times New Roman"/>
        </w:rPr>
        <w:t>-base</w:t>
      </w:r>
      <w:r w:rsidR="00E978B1">
        <w:rPr>
          <w:rFonts w:cs="Times New Roman"/>
        </w:rPr>
        <w:t>d</w:t>
      </w:r>
      <w:r w:rsidR="00B245B5">
        <w:rPr>
          <w:rFonts w:cs="Times New Roman"/>
        </w:rPr>
        <w:t xml:space="preserve"> isotropic alloys.</w:t>
      </w:r>
    </w:p>
    <w:p w14:paraId="47C37A60" w14:textId="77777777" w:rsidR="002A429F" w:rsidRPr="000C0099" w:rsidRDefault="002A429F" w:rsidP="00EE2999">
      <w:pPr>
        <w:rPr>
          <w:rFonts w:cs="Times New Roman"/>
        </w:rPr>
      </w:pPr>
    </w:p>
    <w:p w14:paraId="55F96AFA" w14:textId="770DBDBA" w:rsidR="001C6E94" w:rsidRPr="000C0099" w:rsidRDefault="001C6E94" w:rsidP="001C6E94">
      <w:pPr>
        <w:rPr>
          <w:rFonts w:cs="Times New Roman"/>
          <w:b/>
        </w:rPr>
      </w:pPr>
      <w:r w:rsidRPr="000C0099">
        <w:rPr>
          <w:rFonts w:cs="Times New Roman"/>
          <w:b/>
        </w:rPr>
        <w:t>References</w:t>
      </w:r>
    </w:p>
    <w:p w14:paraId="5C4F8CF3" w14:textId="188C9F80" w:rsidR="00726CA0" w:rsidRPr="000C0099" w:rsidRDefault="00726CA0" w:rsidP="00726CA0">
      <w:pPr>
        <w:rPr>
          <w:rFonts w:cs="Times New Roman"/>
        </w:rPr>
      </w:pPr>
      <w:r w:rsidRPr="000C0099">
        <w:rPr>
          <w:rFonts w:cs="Times New Roman"/>
        </w:rPr>
        <w:t xml:space="preserve">[1] </w:t>
      </w:r>
      <w:r w:rsidR="000C0099">
        <w:rPr>
          <w:rFonts w:cs="Times New Roman"/>
        </w:rPr>
        <w:t xml:space="preserve">P. </w:t>
      </w:r>
      <w:proofErr w:type="spellStart"/>
      <w:r w:rsidR="000C0099">
        <w:rPr>
          <w:rFonts w:cs="Times New Roman"/>
        </w:rPr>
        <w:t>Tozman</w:t>
      </w:r>
      <w:proofErr w:type="spellEnd"/>
      <w:r w:rsidR="000C0099">
        <w:rPr>
          <w:rFonts w:cs="Times New Roman"/>
        </w:rPr>
        <w:t xml:space="preserve">, </w:t>
      </w:r>
      <w:r w:rsidR="000C0099" w:rsidRPr="000C0099">
        <w:rPr>
          <w:rFonts w:cs="Times New Roman"/>
        </w:rPr>
        <w:t xml:space="preserve">H. </w:t>
      </w:r>
      <w:proofErr w:type="spellStart"/>
      <w:r w:rsidR="000C0099" w:rsidRPr="000C0099">
        <w:rPr>
          <w:rFonts w:cs="Times New Roman"/>
        </w:rPr>
        <w:t>Sepehri</w:t>
      </w:r>
      <w:proofErr w:type="spellEnd"/>
      <w:r w:rsidR="000C0099" w:rsidRPr="000C0099">
        <w:rPr>
          <w:rFonts w:cs="Times New Roman"/>
        </w:rPr>
        <w:t>-Amin, and K. Hono</w:t>
      </w:r>
      <w:r w:rsidRPr="000C0099">
        <w:rPr>
          <w:rFonts w:cs="Times New Roman"/>
        </w:rPr>
        <w:t>, Scr. Mater. 1</w:t>
      </w:r>
      <w:r w:rsidR="000C0099">
        <w:rPr>
          <w:rFonts w:cs="Times New Roman"/>
        </w:rPr>
        <w:t>94</w:t>
      </w:r>
      <w:r w:rsidRPr="000C0099">
        <w:rPr>
          <w:rFonts w:cs="Times New Roman"/>
        </w:rPr>
        <w:t xml:space="preserve"> (20</w:t>
      </w:r>
      <w:r w:rsidR="000C0099">
        <w:rPr>
          <w:rFonts w:cs="Times New Roman"/>
        </w:rPr>
        <w:t>21</w:t>
      </w:r>
      <w:r w:rsidRPr="000C0099">
        <w:rPr>
          <w:rFonts w:cs="Times New Roman"/>
        </w:rPr>
        <w:t xml:space="preserve">) </w:t>
      </w:r>
      <w:r w:rsidR="000C0099" w:rsidRPr="000C0099">
        <w:rPr>
          <w:rFonts w:cs="Times New Roman"/>
        </w:rPr>
        <w:t>113686</w:t>
      </w:r>
      <w:r w:rsidRPr="000C0099">
        <w:rPr>
          <w:rFonts w:cs="Times New Roman"/>
        </w:rPr>
        <w:t>.</w:t>
      </w:r>
    </w:p>
    <w:p w14:paraId="7AB3386F" w14:textId="77415526" w:rsidR="00427D8B" w:rsidRPr="000C0099" w:rsidRDefault="002A429F" w:rsidP="002A429F">
      <w:pPr>
        <w:rPr>
          <w:rFonts w:cs="Times New Roman"/>
        </w:rPr>
      </w:pPr>
      <w:r w:rsidRPr="000C0099">
        <w:rPr>
          <w:rFonts w:cs="Times New Roman"/>
        </w:rPr>
        <w:t>[</w:t>
      </w:r>
      <w:r w:rsidR="00726CA0" w:rsidRPr="000C0099">
        <w:rPr>
          <w:rFonts w:cs="Times New Roman"/>
        </w:rPr>
        <w:t>2</w:t>
      </w:r>
      <w:r w:rsidRPr="000C0099">
        <w:rPr>
          <w:rFonts w:cs="Times New Roman"/>
        </w:rPr>
        <w:t xml:space="preserve">] </w:t>
      </w:r>
      <w:r w:rsidR="0075278A" w:rsidRPr="000C0099">
        <w:rPr>
          <w:rFonts w:cs="Times New Roman"/>
        </w:rPr>
        <w:t xml:space="preserve">Y. Hirayama, Y.K. Takahashi, S. Hirosawa, </w:t>
      </w:r>
      <w:r w:rsidR="00C155AC" w:rsidRPr="000C0099">
        <w:rPr>
          <w:rFonts w:cs="Times New Roman"/>
        </w:rPr>
        <w:t xml:space="preserve">and </w:t>
      </w:r>
      <w:r w:rsidR="0075278A" w:rsidRPr="000C0099">
        <w:rPr>
          <w:rFonts w:cs="Times New Roman"/>
        </w:rPr>
        <w:t>K. Hono, Scr. Mater. 138 (2017) 62.</w:t>
      </w:r>
    </w:p>
    <w:p w14:paraId="6C4E150B" w14:textId="3225B777" w:rsidR="0075278A" w:rsidRPr="000C0099" w:rsidRDefault="0075278A" w:rsidP="002A429F">
      <w:pPr>
        <w:rPr>
          <w:rFonts w:eastAsiaTheme="minorEastAsia" w:cs="Times New Roman"/>
          <w:lang w:eastAsia="ja-JP"/>
        </w:rPr>
      </w:pPr>
      <w:r w:rsidRPr="000C0099">
        <w:rPr>
          <w:rFonts w:eastAsiaTheme="minorEastAsia" w:cs="Times New Roman"/>
          <w:lang w:eastAsia="ja-JP"/>
        </w:rPr>
        <w:t>[</w:t>
      </w:r>
      <w:r w:rsidR="00C155AC" w:rsidRPr="000C0099">
        <w:rPr>
          <w:rFonts w:eastAsiaTheme="minorEastAsia" w:cs="Times New Roman"/>
          <w:lang w:eastAsia="ja-JP"/>
        </w:rPr>
        <w:t>3</w:t>
      </w:r>
      <w:r w:rsidRPr="000C0099">
        <w:rPr>
          <w:rFonts w:eastAsiaTheme="minorEastAsia" w:cs="Times New Roman"/>
          <w:lang w:eastAsia="ja-JP"/>
        </w:rPr>
        <w:t xml:space="preserve">] D.N. Nguyen, H. Kino, T. Miyake, </w:t>
      </w:r>
      <w:r w:rsidR="00C155AC" w:rsidRPr="000C0099">
        <w:rPr>
          <w:rFonts w:eastAsiaTheme="minorEastAsia" w:cs="Times New Roman"/>
          <w:lang w:eastAsia="ja-JP"/>
        </w:rPr>
        <w:t xml:space="preserve">and </w:t>
      </w:r>
      <w:r w:rsidRPr="000C0099">
        <w:rPr>
          <w:rFonts w:eastAsiaTheme="minorEastAsia" w:cs="Times New Roman"/>
          <w:lang w:eastAsia="ja-JP"/>
        </w:rPr>
        <w:t>H.C. Dam, MRS Bull</w:t>
      </w:r>
      <w:r w:rsidR="00C155AC" w:rsidRPr="000C0099">
        <w:rPr>
          <w:rFonts w:eastAsiaTheme="minorEastAsia" w:cs="Times New Roman"/>
          <w:lang w:eastAsia="ja-JP"/>
        </w:rPr>
        <w:t>.</w:t>
      </w:r>
      <w:r w:rsidRPr="000C0099">
        <w:rPr>
          <w:rFonts w:eastAsiaTheme="minorEastAsia" w:cs="Times New Roman"/>
          <w:lang w:eastAsia="ja-JP"/>
        </w:rPr>
        <w:t xml:space="preserve"> 48 (2023) 31.</w:t>
      </w:r>
    </w:p>
    <w:p w14:paraId="59A145FF" w14:textId="019276FE" w:rsidR="00CC743E" w:rsidRPr="000C0099" w:rsidRDefault="0075278A" w:rsidP="002A429F">
      <w:pPr>
        <w:rPr>
          <w:rFonts w:cs="Times New Roman"/>
        </w:rPr>
      </w:pPr>
      <w:r w:rsidRPr="000C0099">
        <w:rPr>
          <w:rFonts w:eastAsiaTheme="minorEastAsia" w:cs="Times New Roman"/>
          <w:lang w:eastAsia="ja-JP"/>
        </w:rPr>
        <w:t>[</w:t>
      </w:r>
      <w:r w:rsidR="00C155AC" w:rsidRPr="000C0099">
        <w:rPr>
          <w:rFonts w:eastAsiaTheme="minorEastAsia" w:cs="Times New Roman"/>
          <w:lang w:eastAsia="ja-JP"/>
        </w:rPr>
        <w:t>4</w:t>
      </w:r>
      <w:r w:rsidRPr="000C0099">
        <w:rPr>
          <w:rFonts w:eastAsiaTheme="minorEastAsia" w:cs="Times New Roman"/>
          <w:lang w:eastAsia="ja-JP"/>
        </w:rPr>
        <w:t xml:space="preserve">] </w:t>
      </w:r>
      <w:r w:rsidRPr="000C0099">
        <w:rPr>
          <w:rFonts w:cs="Times New Roman"/>
        </w:rPr>
        <w:t xml:space="preserve">X. Tang, J. Li, A.K. Srinithi, H. </w:t>
      </w:r>
      <w:proofErr w:type="spellStart"/>
      <w:r w:rsidRPr="000C0099">
        <w:rPr>
          <w:rFonts w:cs="Times New Roman"/>
        </w:rPr>
        <w:t>Sepehri</w:t>
      </w:r>
      <w:proofErr w:type="spellEnd"/>
      <w:r w:rsidRPr="000C0099">
        <w:rPr>
          <w:rFonts w:cs="Times New Roman"/>
        </w:rPr>
        <w:t xml:space="preserve">-Amin, T. Ohkubo, </w:t>
      </w:r>
      <w:r w:rsidR="00C155AC" w:rsidRPr="000C0099">
        <w:rPr>
          <w:rFonts w:cs="Times New Roman"/>
        </w:rPr>
        <w:t xml:space="preserve">and </w:t>
      </w:r>
      <w:r w:rsidRPr="000C0099">
        <w:rPr>
          <w:rFonts w:cs="Times New Roman"/>
        </w:rPr>
        <w:t>K. Hono, Scr. Mater. 200 (2021) 113925.</w:t>
      </w:r>
    </w:p>
    <w:sectPr w:rsidR="00CC743E" w:rsidRPr="000C0099" w:rsidSect="00413030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678D2" w14:textId="77777777" w:rsidR="000F4EE7" w:rsidRDefault="000F4EE7" w:rsidP="00736AB4">
      <w:pPr>
        <w:spacing w:after="0" w:line="240" w:lineRule="auto"/>
      </w:pPr>
      <w:r>
        <w:separator/>
      </w:r>
    </w:p>
  </w:endnote>
  <w:endnote w:type="continuationSeparator" w:id="0">
    <w:p w14:paraId="05893EF0" w14:textId="77777777" w:rsidR="000F4EE7" w:rsidRDefault="000F4EE7" w:rsidP="0073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2665C" w14:textId="77777777" w:rsidR="000F4EE7" w:rsidRDefault="000F4EE7" w:rsidP="00736AB4">
      <w:pPr>
        <w:spacing w:after="0" w:line="240" w:lineRule="auto"/>
      </w:pPr>
      <w:r>
        <w:separator/>
      </w:r>
    </w:p>
  </w:footnote>
  <w:footnote w:type="continuationSeparator" w:id="0">
    <w:p w14:paraId="4BBB7286" w14:textId="77777777" w:rsidR="000F4EE7" w:rsidRDefault="000F4EE7" w:rsidP="00736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04583"/>
    <w:multiLevelType w:val="hybridMultilevel"/>
    <w:tmpl w:val="09961734"/>
    <w:lvl w:ilvl="0" w:tplc="DC844E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70F00"/>
    <w:multiLevelType w:val="hybridMultilevel"/>
    <w:tmpl w:val="3C4A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12DC5"/>
    <w:multiLevelType w:val="hybridMultilevel"/>
    <w:tmpl w:val="0136BC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6DF7"/>
    <w:multiLevelType w:val="hybridMultilevel"/>
    <w:tmpl w:val="B854F46C"/>
    <w:lvl w:ilvl="0" w:tplc="7DC6BCFC">
      <w:start w:val="1"/>
      <w:numFmt w:val="decimal"/>
      <w:lvlText w:val="[%1]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D403D"/>
    <w:multiLevelType w:val="hybridMultilevel"/>
    <w:tmpl w:val="7A742F7E"/>
    <w:lvl w:ilvl="0" w:tplc="9D38D96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A54156"/>
    <w:multiLevelType w:val="hybridMultilevel"/>
    <w:tmpl w:val="17EE6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53612">
    <w:abstractNumId w:val="5"/>
  </w:num>
  <w:num w:numId="2" w16cid:durableId="1534263869">
    <w:abstractNumId w:val="4"/>
  </w:num>
  <w:num w:numId="3" w16cid:durableId="676544245">
    <w:abstractNumId w:val="2"/>
  </w:num>
  <w:num w:numId="4" w16cid:durableId="1112826948">
    <w:abstractNumId w:val="0"/>
  </w:num>
  <w:num w:numId="5" w16cid:durableId="1945384019">
    <w:abstractNumId w:val="3"/>
  </w:num>
  <w:num w:numId="6" w16cid:durableId="679968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7E"/>
    <w:rsid w:val="0000257E"/>
    <w:rsid w:val="00064287"/>
    <w:rsid w:val="000709E4"/>
    <w:rsid w:val="00096EF2"/>
    <w:rsid w:val="000C0099"/>
    <w:rsid w:val="000E0120"/>
    <w:rsid w:val="000E5DA5"/>
    <w:rsid w:val="000F29C1"/>
    <w:rsid w:val="000F4EE7"/>
    <w:rsid w:val="00101479"/>
    <w:rsid w:val="00147A95"/>
    <w:rsid w:val="00165007"/>
    <w:rsid w:val="001B1761"/>
    <w:rsid w:val="001C6E94"/>
    <w:rsid w:val="001D1F4A"/>
    <w:rsid w:val="001E3C92"/>
    <w:rsid w:val="0020425B"/>
    <w:rsid w:val="0023200B"/>
    <w:rsid w:val="002343EB"/>
    <w:rsid w:val="0026517F"/>
    <w:rsid w:val="0027323C"/>
    <w:rsid w:val="002A429F"/>
    <w:rsid w:val="003263FF"/>
    <w:rsid w:val="003358FB"/>
    <w:rsid w:val="003B7E21"/>
    <w:rsid w:val="003E06E6"/>
    <w:rsid w:val="003E2FB0"/>
    <w:rsid w:val="00413030"/>
    <w:rsid w:val="0041789F"/>
    <w:rsid w:val="00427D8B"/>
    <w:rsid w:val="00473B17"/>
    <w:rsid w:val="00477F7C"/>
    <w:rsid w:val="004A13AD"/>
    <w:rsid w:val="00515E43"/>
    <w:rsid w:val="0055385F"/>
    <w:rsid w:val="005829BF"/>
    <w:rsid w:val="005B1C62"/>
    <w:rsid w:val="005E31B8"/>
    <w:rsid w:val="00654E3A"/>
    <w:rsid w:val="0067024E"/>
    <w:rsid w:val="006855EA"/>
    <w:rsid w:val="0068727B"/>
    <w:rsid w:val="006C0CC3"/>
    <w:rsid w:val="006E54EE"/>
    <w:rsid w:val="00713EF1"/>
    <w:rsid w:val="00726446"/>
    <w:rsid w:val="00726CA0"/>
    <w:rsid w:val="00736AB4"/>
    <w:rsid w:val="00740C6E"/>
    <w:rsid w:val="0075278A"/>
    <w:rsid w:val="007D478A"/>
    <w:rsid w:val="00821D8A"/>
    <w:rsid w:val="00843C99"/>
    <w:rsid w:val="009431D7"/>
    <w:rsid w:val="0097791A"/>
    <w:rsid w:val="009B734E"/>
    <w:rsid w:val="009D01B2"/>
    <w:rsid w:val="009E2D55"/>
    <w:rsid w:val="009F3BA3"/>
    <w:rsid w:val="00A5711C"/>
    <w:rsid w:val="00A65BC0"/>
    <w:rsid w:val="00B07022"/>
    <w:rsid w:val="00B245B5"/>
    <w:rsid w:val="00BE7461"/>
    <w:rsid w:val="00C1085C"/>
    <w:rsid w:val="00C155AC"/>
    <w:rsid w:val="00C36B2F"/>
    <w:rsid w:val="00CA1B69"/>
    <w:rsid w:val="00CB7562"/>
    <w:rsid w:val="00CC743E"/>
    <w:rsid w:val="00CD5C87"/>
    <w:rsid w:val="00CF2AAD"/>
    <w:rsid w:val="00D03D82"/>
    <w:rsid w:val="00D35174"/>
    <w:rsid w:val="00D652C0"/>
    <w:rsid w:val="00DB105D"/>
    <w:rsid w:val="00DC692B"/>
    <w:rsid w:val="00E4069E"/>
    <w:rsid w:val="00E43138"/>
    <w:rsid w:val="00E832F8"/>
    <w:rsid w:val="00E978B1"/>
    <w:rsid w:val="00EB2A3C"/>
    <w:rsid w:val="00EE2999"/>
    <w:rsid w:val="00F37F8B"/>
    <w:rsid w:val="00F8707C"/>
    <w:rsid w:val="00FD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EFC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57E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57E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57E"/>
    <w:rPr>
      <w:rFonts w:ascii="Times New Roman" w:eastAsiaTheme="majorEastAsia" w:hAnsi="Times New Roman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00257E"/>
    <w:pPr>
      <w:ind w:left="720"/>
      <w:contextualSpacing/>
    </w:pPr>
  </w:style>
  <w:style w:type="table" w:styleId="TableGrid">
    <w:name w:val="Table Grid"/>
    <w:basedOn w:val="TableNormal"/>
    <w:uiPriority w:val="39"/>
    <w:rsid w:val="00477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A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B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36A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B4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685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5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3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1B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1B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83935-4D87-419B-B3F4-8F565481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2024-10-13T04:57:00Z</dcterms:created>
  <dcterms:modified xsi:type="dcterms:W3CDTF">2024-10-13T04:57:00Z</dcterms:modified>
</cp:coreProperties>
</file>