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30FC" w14:textId="77777777" w:rsidR="00FF0603" w:rsidRPr="00D314C2" w:rsidRDefault="00FF0603" w:rsidP="003E5320">
      <w:pPr>
        <w:jc w:val="center"/>
      </w:pPr>
      <w:r w:rsidRPr="00D314C2">
        <w:rPr>
          <w:rFonts w:hint="eastAsia"/>
        </w:rPr>
        <w:t>巨大地震対策としての制振ダンパー用耐疲労鋼の開発</w:t>
      </w:r>
    </w:p>
    <w:p w14:paraId="18B4F137" w14:textId="77777777" w:rsidR="00FF0603" w:rsidRPr="00D314C2" w:rsidRDefault="00FF0603" w:rsidP="003E5320">
      <w:pPr>
        <w:jc w:val="right"/>
      </w:pPr>
      <w:r w:rsidRPr="00D314C2">
        <w:rPr>
          <w:rFonts w:hint="eastAsia"/>
        </w:rPr>
        <w:t>国立研究開発法人物質・材料研究機構　吉中奎貴</w:t>
      </w:r>
    </w:p>
    <w:p w14:paraId="70969143" w14:textId="77777777" w:rsidR="00FF0603" w:rsidRPr="00D314C2" w:rsidRDefault="00FF0603" w:rsidP="003E5320">
      <w:pPr>
        <w:jc w:val="right"/>
        <w:sectPr w:rsidR="00FF0603" w:rsidRPr="00D314C2" w:rsidSect="00FF0603">
          <w:pgSz w:w="11906" w:h="16838"/>
          <w:pgMar w:top="1985" w:right="1701" w:bottom="1701" w:left="1701" w:header="851" w:footer="992" w:gutter="0"/>
          <w:cols w:space="425"/>
          <w:docGrid w:type="lines" w:linePitch="360"/>
        </w:sectPr>
      </w:pPr>
    </w:p>
    <w:p w14:paraId="5B4F9FB7" w14:textId="77777777" w:rsidR="00FF0603" w:rsidRPr="00D314C2" w:rsidRDefault="00FF0603" w:rsidP="000645CB">
      <w:pPr>
        <w:rPr>
          <w:rFonts w:ascii="ＭＳ 明朝" w:hAnsi="ＭＳ 明朝"/>
          <w:sz w:val="20"/>
          <w:szCs w:val="20"/>
        </w:rPr>
      </w:pPr>
      <w:r w:rsidRPr="00D314C2">
        <w:rPr>
          <w:rFonts w:ascii="ＭＳ 明朝" w:hAnsi="ＭＳ 明朝" w:hint="eastAsia"/>
        </w:rPr>
        <w:t>1.</w:t>
      </w:r>
      <w:r w:rsidRPr="00D314C2">
        <w:rPr>
          <w:rFonts w:hint="eastAsia"/>
        </w:rPr>
        <w:t>はじめに</w:t>
      </w:r>
    </w:p>
    <w:p w14:paraId="6F7A46C5" w14:textId="7B50FCF5" w:rsidR="00FC4057" w:rsidRPr="00D314C2" w:rsidRDefault="00FF0603" w:rsidP="00FC4057">
      <w:pPr>
        <w:ind w:firstLineChars="100" w:firstLine="197"/>
        <w:jc w:val="left"/>
        <w:rPr>
          <w:rFonts w:ascii="ＭＳ 明朝" w:hAnsi="ＭＳ 明朝"/>
          <w:sz w:val="20"/>
          <w:szCs w:val="20"/>
        </w:rPr>
      </w:pPr>
      <w:r w:rsidRPr="00D314C2">
        <w:rPr>
          <w:rFonts w:ascii="ＭＳ 明朝" w:hAnsi="ＭＳ 明朝" w:hint="eastAsia"/>
          <w:sz w:val="20"/>
          <w:szCs w:val="20"/>
        </w:rPr>
        <w:t>今後30年以内</w:t>
      </w:r>
      <w:r w:rsidR="00FC4057">
        <w:rPr>
          <w:rFonts w:ascii="ＭＳ 明朝" w:hAnsi="ＭＳ 明朝" w:hint="eastAsia"/>
          <w:sz w:val="20"/>
          <w:szCs w:val="20"/>
        </w:rPr>
        <w:t>での</w:t>
      </w:r>
      <w:r w:rsidRPr="00D314C2">
        <w:rPr>
          <w:rFonts w:ascii="ＭＳ 明朝" w:hAnsi="ＭＳ 明朝" w:hint="eastAsia"/>
          <w:sz w:val="20"/>
          <w:szCs w:val="20"/>
        </w:rPr>
        <w:t>発生が</w:t>
      </w:r>
      <w:r w:rsidR="00FC4057" w:rsidRPr="00D314C2">
        <w:rPr>
          <w:rFonts w:ascii="ＭＳ 明朝" w:hAnsi="ＭＳ 明朝" w:hint="eastAsia"/>
          <w:sz w:val="20"/>
          <w:szCs w:val="20"/>
        </w:rPr>
        <w:t>高い確率で</w:t>
      </w:r>
      <w:r w:rsidRPr="00D314C2">
        <w:rPr>
          <w:rFonts w:ascii="ＭＳ 明朝" w:hAnsi="ＭＳ 明朝" w:hint="eastAsia"/>
          <w:sz w:val="20"/>
          <w:szCs w:val="20"/>
        </w:rPr>
        <w:t>予測される南海トラフ巨大地震や首都直下地震をはじめ</w:t>
      </w:r>
      <w:r w:rsidR="00FC4057">
        <w:rPr>
          <w:rFonts w:ascii="ＭＳ 明朝" w:hAnsi="ＭＳ 明朝" w:hint="eastAsia"/>
          <w:sz w:val="20"/>
          <w:szCs w:val="20"/>
        </w:rPr>
        <w:t>、</w:t>
      </w:r>
      <w:r w:rsidRPr="00D314C2">
        <w:rPr>
          <w:rFonts w:ascii="ＭＳ 明朝" w:hAnsi="ＭＳ 明朝" w:hint="eastAsia"/>
          <w:sz w:val="20"/>
          <w:szCs w:val="20"/>
        </w:rPr>
        <w:t>大規模地震とそれに伴う長周期地震動への強い懸念から高層建築物の制振化が推し進められている。制振</w:t>
      </w:r>
      <w:r w:rsidR="00FC4057">
        <w:rPr>
          <w:rFonts w:ascii="ＭＳ 明朝" w:hAnsi="ＭＳ 明朝" w:hint="eastAsia"/>
          <w:sz w:val="20"/>
          <w:szCs w:val="20"/>
        </w:rPr>
        <w:t>装置</w:t>
      </w:r>
      <w:r w:rsidRPr="00D314C2">
        <w:rPr>
          <w:rFonts w:ascii="ＭＳ 明朝" w:hAnsi="ＭＳ 明朝" w:hint="eastAsia"/>
          <w:sz w:val="20"/>
          <w:szCs w:val="20"/>
        </w:rPr>
        <w:t>の中でも鋼材ダンパーは低コストであり、また高い剛性を付与できるという点で</w:t>
      </w:r>
      <w:r w:rsidR="00117DA6">
        <w:rPr>
          <w:rFonts w:ascii="ＭＳ 明朝" w:hAnsi="ＭＳ 明朝" w:hint="eastAsia"/>
          <w:sz w:val="20"/>
          <w:szCs w:val="20"/>
        </w:rPr>
        <w:t>優位性</w:t>
      </w:r>
      <w:r w:rsidRPr="00D314C2">
        <w:rPr>
          <w:rFonts w:ascii="ＭＳ 明朝" w:hAnsi="ＭＳ 明朝" w:hint="eastAsia"/>
          <w:sz w:val="20"/>
          <w:szCs w:val="20"/>
        </w:rPr>
        <w:t>を有する。鋼材ダンパーは</w:t>
      </w:r>
      <w:r w:rsidR="0031445C">
        <w:rPr>
          <w:rFonts w:ascii="ＭＳ 明朝" w:hAnsi="ＭＳ 明朝" w:hint="eastAsia"/>
          <w:sz w:val="20"/>
          <w:szCs w:val="20"/>
        </w:rPr>
        <w:t>心</w:t>
      </w:r>
      <w:r w:rsidRPr="00D314C2">
        <w:rPr>
          <w:rFonts w:ascii="ＭＳ 明朝" w:hAnsi="ＭＳ 明朝" w:hint="eastAsia"/>
          <w:sz w:val="20"/>
          <w:szCs w:val="20"/>
        </w:rPr>
        <w:t>材として用いる鋼材の繰返し弾塑性変形により振動エネルギーを吸収する。そのため、低サイクル疲労(あるいは塑性疲労)の発生</w:t>
      </w:r>
      <w:r w:rsidR="00117DA6">
        <w:rPr>
          <w:rFonts w:ascii="ＭＳ 明朝" w:hAnsi="ＭＳ 明朝" w:hint="eastAsia"/>
          <w:sz w:val="20"/>
          <w:szCs w:val="20"/>
        </w:rPr>
        <w:t>を</w:t>
      </w:r>
      <w:r w:rsidRPr="00D314C2">
        <w:rPr>
          <w:rFonts w:ascii="ＭＳ 明朝" w:hAnsi="ＭＳ 明朝" w:hint="eastAsia"/>
          <w:sz w:val="20"/>
          <w:szCs w:val="20"/>
        </w:rPr>
        <w:t>避け</w:t>
      </w:r>
      <w:r w:rsidR="00117DA6">
        <w:rPr>
          <w:rFonts w:ascii="ＭＳ 明朝" w:hAnsi="ＭＳ 明朝" w:hint="eastAsia"/>
          <w:sz w:val="20"/>
          <w:szCs w:val="20"/>
        </w:rPr>
        <w:t>ることはでき</w:t>
      </w:r>
      <w:r w:rsidRPr="00D314C2">
        <w:rPr>
          <w:rFonts w:ascii="ＭＳ 明朝" w:hAnsi="ＭＳ 明朝" w:hint="eastAsia"/>
          <w:sz w:val="20"/>
          <w:szCs w:val="20"/>
        </w:rPr>
        <w:t>ず、特に長周期地震動による大振幅・多数回の繰返し変形に対しては、従来鋼材では十分な余裕度を確保することが困難であった。</w:t>
      </w:r>
    </w:p>
    <w:p w14:paraId="0E2D9EA7" w14:textId="3B84C708" w:rsidR="00FF0603" w:rsidRPr="00D314C2" w:rsidRDefault="00FF0603" w:rsidP="009A459E">
      <w:pPr>
        <w:ind w:firstLineChars="100" w:firstLine="197"/>
        <w:jc w:val="left"/>
        <w:rPr>
          <w:rFonts w:ascii="ＭＳ 明朝" w:hAnsi="ＭＳ 明朝"/>
          <w:sz w:val="20"/>
          <w:szCs w:val="20"/>
        </w:rPr>
      </w:pPr>
      <w:r w:rsidRPr="00D314C2">
        <w:rPr>
          <w:rFonts w:ascii="ＭＳ 明朝" w:hAnsi="ＭＳ 明朝" w:hint="eastAsia"/>
          <w:sz w:val="20"/>
          <w:szCs w:val="20"/>
        </w:rPr>
        <w:t>そこで筆者らは疲労耐久性に優れた新鋼材の設計に取り組み、従来鋼材の10倍の疲労寿命を有するFe-15Mn-10Cr-8Ni-4Siを開発した</w:t>
      </w:r>
      <w:r w:rsidRPr="00D314C2">
        <w:rPr>
          <w:rFonts w:ascii="ＭＳ 明朝" w:hAnsi="ＭＳ 明朝"/>
          <w:noProof/>
          <w:sz w:val="20"/>
          <w:szCs w:val="20"/>
          <w:vertAlign w:val="superscript"/>
        </w:rPr>
        <w:t>1</w:t>
      </w:r>
      <w:r w:rsidR="00CD7A0C" w:rsidRPr="00D314C2">
        <w:rPr>
          <w:rFonts w:ascii="ＭＳ 明朝" w:hAnsi="ＭＳ 明朝" w:hint="eastAsia"/>
          <w:noProof/>
          <w:sz w:val="20"/>
          <w:szCs w:val="20"/>
          <w:vertAlign w:val="superscript"/>
        </w:rPr>
        <w:t>)</w:t>
      </w:r>
      <w:r w:rsidRPr="00D314C2">
        <w:rPr>
          <w:rFonts w:ascii="ＭＳ 明朝" w:hAnsi="ＭＳ 明朝"/>
          <w:noProof/>
          <w:sz w:val="20"/>
          <w:szCs w:val="20"/>
          <w:vertAlign w:val="superscript"/>
        </w:rPr>
        <w:t>-3</w:t>
      </w:r>
      <w:r w:rsidR="00CD7A0C" w:rsidRPr="00D314C2">
        <w:rPr>
          <w:rFonts w:ascii="ＭＳ 明朝" w:hAnsi="ＭＳ 明朝" w:hint="eastAsia"/>
          <w:noProof/>
          <w:sz w:val="20"/>
          <w:szCs w:val="20"/>
          <w:vertAlign w:val="superscript"/>
        </w:rPr>
        <w:t>)</w:t>
      </w:r>
      <w:r w:rsidRPr="00D314C2">
        <w:rPr>
          <w:rFonts w:ascii="ＭＳ 明朝" w:hAnsi="ＭＳ 明朝" w:hint="eastAsia"/>
          <w:sz w:val="20"/>
          <w:szCs w:val="20"/>
        </w:rPr>
        <w:t>。同鋼材からなる耐疲労鋼材ダンパーは既に複数の大型建築物に実装されている</w:t>
      </w:r>
      <w:r w:rsidR="00CD7A0C" w:rsidRPr="00D314C2">
        <w:rPr>
          <w:rFonts w:ascii="ＭＳ 明朝" w:hAnsi="ＭＳ 明朝" w:hint="eastAsia"/>
          <w:noProof/>
          <w:sz w:val="20"/>
          <w:szCs w:val="20"/>
          <w:vertAlign w:val="superscript"/>
        </w:rPr>
        <w:t>4), 5)</w:t>
      </w:r>
      <w:r w:rsidRPr="00D314C2">
        <w:rPr>
          <w:rFonts w:ascii="ＭＳ 明朝" w:hAnsi="ＭＳ 明朝" w:hint="eastAsia"/>
          <w:sz w:val="20"/>
          <w:szCs w:val="20"/>
        </w:rPr>
        <w:t>。さらに、同鋼材の凝固割れ感受性が高いという懸念点を克服したFe-15Mn-11Cr-7.5Ni-4Siも新たに開発し実用化に向けた取組みを進めている</w:t>
      </w:r>
      <w:r w:rsidR="00CD7A0C" w:rsidRPr="00D314C2">
        <w:rPr>
          <w:rFonts w:ascii="ＭＳ 明朝" w:hAnsi="ＭＳ 明朝" w:hint="eastAsia"/>
          <w:noProof/>
          <w:sz w:val="20"/>
          <w:szCs w:val="20"/>
          <w:vertAlign w:val="superscript"/>
        </w:rPr>
        <w:t>6)</w:t>
      </w:r>
      <w:r w:rsidRPr="00D314C2">
        <w:rPr>
          <w:rFonts w:ascii="ＭＳ 明朝" w:hAnsi="ＭＳ 明朝" w:hint="eastAsia"/>
          <w:sz w:val="20"/>
          <w:szCs w:val="20"/>
        </w:rPr>
        <w:t>。本稿では、これらの開発鋼材の材料設計指針や特性発現メカニズムをいくつかの実験結果の概略とともに紹介する。なお、実験方法やパラメータの算出方法</w:t>
      </w:r>
      <w:r w:rsidR="00117DA6">
        <w:rPr>
          <w:rFonts w:ascii="ＭＳ 明朝" w:hAnsi="ＭＳ 明朝" w:hint="eastAsia"/>
          <w:sz w:val="20"/>
          <w:szCs w:val="20"/>
        </w:rPr>
        <w:t>の詳細</w:t>
      </w:r>
      <w:r w:rsidRPr="00D314C2">
        <w:rPr>
          <w:rFonts w:ascii="ＭＳ 明朝" w:hAnsi="ＭＳ 明朝" w:hint="eastAsia"/>
          <w:sz w:val="20"/>
          <w:szCs w:val="20"/>
        </w:rPr>
        <w:t>については記述を避け、</w:t>
      </w:r>
      <w:r w:rsidR="00117DA6">
        <w:rPr>
          <w:rFonts w:ascii="ＭＳ 明朝" w:hAnsi="ＭＳ 明朝" w:hint="eastAsia"/>
          <w:sz w:val="20"/>
          <w:szCs w:val="20"/>
        </w:rPr>
        <w:t>研究開発成果</w:t>
      </w:r>
      <w:r w:rsidRPr="00D314C2">
        <w:rPr>
          <w:rFonts w:ascii="ＭＳ 明朝" w:hAnsi="ＭＳ 明朝" w:hint="eastAsia"/>
          <w:sz w:val="20"/>
          <w:szCs w:val="20"/>
        </w:rPr>
        <w:t>のエッセンスを示すにとどめた。適宜、参考文献として関連する論文を示してあるため、詳細についてはそれらをご参照いただきたい。</w:t>
      </w:r>
    </w:p>
    <w:p w14:paraId="072C32BB" w14:textId="77777777" w:rsidR="00FF0603" w:rsidRPr="00D314C2" w:rsidRDefault="00FF0603" w:rsidP="000645CB">
      <w:pPr>
        <w:jc w:val="left"/>
        <w:rPr>
          <w:rFonts w:ascii="ＭＳ 明朝" w:hAnsi="ＭＳ 明朝"/>
          <w:sz w:val="20"/>
          <w:szCs w:val="20"/>
        </w:rPr>
      </w:pPr>
    </w:p>
    <w:p w14:paraId="45A2DD0A" w14:textId="77777777" w:rsidR="00FF0603" w:rsidRPr="00D314C2" w:rsidRDefault="00FF0603" w:rsidP="000645CB">
      <w:pPr>
        <w:jc w:val="left"/>
        <w:rPr>
          <w:rFonts w:ascii="ＭＳ 明朝" w:hAnsi="ＭＳ 明朝"/>
          <w:sz w:val="20"/>
          <w:szCs w:val="20"/>
        </w:rPr>
      </w:pPr>
      <w:r w:rsidRPr="00D314C2">
        <w:rPr>
          <w:rFonts w:ascii="ＭＳ 明朝" w:hAnsi="ＭＳ 明朝" w:hint="eastAsia"/>
        </w:rPr>
        <w:t>2.</w:t>
      </w:r>
      <w:r w:rsidRPr="00D314C2">
        <w:rPr>
          <w:rFonts w:hint="eastAsia"/>
        </w:rPr>
        <w:t>可逆γ↔ε変態による疲労耐久性改善</w:t>
      </w:r>
    </w:p>
    <w:p w14:paraId="1406AFD0" w14:textId="76962DDD"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 xml:space="preserve">　図1は縦軸に全ひずみ振幅、横軸に疲労寿命をとったε-N曲線である。丸印は後述するNIMS開発鋼材の結果で、それ以外の結果はNIMS疲労データシート</w:t>
      </w:r>
      <w:r w:rsidR="00CD7A0C" w:rsidRPr="00D314C2">
        <w:rPr>
          <w:rFonts w:ascii="ＭＳ 明朝" w:hAnsi="ＭＳ 明朝" w:hint="eastAsia"/>
          <w:noProof/>
          <w:sz w:val="20"/>
          <w:szCs w:val="20"/>
          <w:vertAlign w:val="superscript"/>
        </w:rPr>
        <w:t>7)</w:t>
      </w:r>
      <w:r w:rsidRPr="00D314C2">
        <w:rPr>
          <w:rFonts w:ascii="ＭＳ 明朝" w:hAnsi="ＭＳ 明朝" w:hint="eastAsia"/>
          <w:sz w:val="20"/>
          <w:szCs w:val="20"/>
        </w:rPr>
        <w:t>に示される市中鋼材の結果である。市中鋼材の引張強度は212-1267 MPa、破断伸びは16-68%の範囲でそれぞれ大きく異なるが、それにもかかわらず、これらの疲労寿命は狭いバンド内に分布している。すなわち、同図は(全ひずみ振幅で整理した)塑性疲労寿命は強度や延性による影響をほとんど受けないことを示している。このような指摘は文献中</w:t>
      </w:r>
      <w:r w:rsidR="00CD7A0C" w:rsidRPr="00D314C2">
        <w:rPr>
          <w:rFonts w:ascii="ＭＳ 明朝" w:hAnsi="ＭＳ 明朝" w:hint="eastAsia"/>
          <w:noProof/>
          <w:sz w:val="20"/>
          <w:szCs w:val="20"/>
          <w:vertAlign w:val="superscript"/>
        </w:rPr>
        <w:t>8)</w:t>
      </w:r>
      <w:r w:rsidRPr="00D314C2">
        <w:rPr>
          <w:rFonts w:ascii="ＭＳ 明朝" w:hAnsi="ＭＳ 明朝" w:hint="eastAsia"/>
          <w:sz w:val="20"/>
          <w:szCs w:val="20"/>
        </w:rPr>
        <w:t>にも見られる。</w:t>
      </w:r>
    </w:p>
    <w:p w14:paraId="5F93769B" w14:textId="77777777" w:rsidR="00FF0603" w:rsidRPr="00D314C2" w:rsidRDefault="00FF0603" w:rsidP="000645CB">
      <w:pPr>
        <w:jc w:val="left"/>
        <w:rPr>
          <w:rFonts w:ascii="ＭＳ 明朝" w:hAnsi="ＭＳ 明朝"/>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3"/>
      </w:tblGrid>
      <w:tr w:rsidR="00FF0603" w:rsidRPr="00D314C2" w14:paraId="4A07B40E" w14:textId="77777777" w:rsidTr="006C44C6">
        <w:tc>
          <w:tcPr>
            <w:tcW w:w="5163" w:type="dxa"/>
          </w:tcPr>
          <w:p w14:paraId="373A136B" w14:textId="77777777" w:rsidR="00FF0603" w:rsidRPr="00D314C2" w:rsidRDefault="00FF0603" w:rsidP="000645CB">
            <w:pPr>
              <w:jc w:val="left"/>
              <w:rPr>
                <w:rFonts w:ascii="ＭＳ 明朝" w:hAnsi="ＭＳ 明朝"/>
                <w:sz w:val="20"/>
                <w:szCs w:val="20"/>
              </w:rPr>
            </w:pPr>
            <w:r w:rsidRPr="00D314C2">
              <w:rPr>
                <w:noProof/>
              </w:rPr>
              <w:drawing>
                <wp:inline distT="0" distB="0" distL="0" distR="0" wp14:anchorId="36AD5E0F" wp14:editId="33FE4968">
                  <wp:extent cx="3284855" cy="4093210"/>
                  <wp:effectExtent l="0" t="0" r="0" b="2540"/>
                  <wp:docPr id="12322650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65042" name=""/>
                          <pic:cNvPicPr/>
                        </pic:nvPicPr>
                        <pic:blipFill>
                          <a:blip r:embed="rId7">
                            <a:extLst>
                              <a:ext uri="{28A0092B-C50C-407E-A947-70E740481C1C}">
                                <a14:useLocalDpi xmlns:a14="http://schemas.microsoft.com/office/drawing/2010/main" val="0"/>
                              </a:ext>
                            </a:extLst>
                          </a:blip>
                          <a:stretch>
                            <a:fillRect/>
                          </a:stretch>
                        </pic:blipFill>
                        <pic:spPr>
                          <a:xfrm>
                            <a:off x="0" y="0"/>
                            <a:ext cx="3284855" cy="4093210"/>
                          </a:xfrm>
                          <a:prstGeom prst="rect">
                            <a:avLst/>
                          </a:prstGeom>
                        </pic:spPr>
                      </pic:pic>
                    </a:graphicData>
                  </a:graphic>
                </wp:inline>
              </w:drawing>
            </w:r>
          </w:p>
        </w:tc>
      </w:tr>
      <w:tr w:rsidR="00FF0603" w:rsidRPr="00D314C2" w14:paraId="4529C05F" w14:textId="77777777" w:rsidTr="006C44C6">
        <w:tc>
          <w:tcPr>
            <w:tcW w:w="5163" w:type="dxa"/>
          </w:tcPr>
          <w:p w14:paraId="2493622B" w14:textId="628725D9" w:rsidR="00FF0603" w:rsidRPr="00D314C2" w:rsidRDefault="00FF0603" w:rsidP="000C437C">
            <w:pPr>
              <w:jc w:val="center"/>
              <w:rPr>
                <w:rFonts w:ascii="ＭＳ 明朝" w:hAnsi="ＭＳ 明朝"/>
                <w:sz w:val="20"/>
                <w:szCs w:val="20"/>
              </w:rPr>
            </w:pPr>
            <w:r w:rsidRPr="00D314C2">
              <w:rPr>
                <w:rFonts w:ascii="ＭＳ 明朝" w:hAnsi="ＭＳ 明朝"/>
                <w:sz w:val="20"/>
                <w:szCs w:val="20"/>
              </w:rPr>
              <w:t>図</w:t>
            </w:r>
            <w:r w:rsidRPr="00D314C2">
              <w:rPr>
                <w:rFonts w:ascii="ＭＳ 明朝" w:hAnsi="ＭＳ 明朝" w:hint="eastAsia"/>
                <w:sz w:val="20"/>
                <w:szCs w:val="20"/>
              </w:rPr>
              <w:t xml:space="preserve">1 </w:t>
            </w:r>
            <w:r w:rsidRPr="00D314C2">
              <w:rPr>
                <w:rFonts w:ascii="ＭＳ 明朝" w:hAnsi="ＭＳ 明朝"/>
                <w:sz w:val="20"/>
                <w:szCs w:val="20"/>
              </w:rPr>
              <w:t>ε</w:t>
            </w:r>
            <w:r w:rsidRPr="00D314C2">
              <w:rPr>
                <w:rFonts w:ascii="ＭＳ 明朝" w:hAnsi="ＭＳ 明朝" w:hint="eastAsia"/>
                <w:sz w:val="20"/>
                <w:szCs w:val="20"/>
              </w:rPr>
              <w:t>-N</w:t>
            </w:r>
            <w:r w:rsidRPr="00D314C2">
              <w:rPr>
                <w:rFonts w:ascii="ＭＳ 明朝" w:hAnsi="ＭＳ 明朝"/>
                <w:sz w:val="20"/>
                <w:szCs w:val="20"/>
              </w:rPr>
              <w:t>曲線</w:t>
            </w:r>
            <w:r w:rsidR="00CD7A0C" w:rsidRPr="00D314C2">
              <w:rPr>
                <w:rFonts w:ascii="ＭＳ 明朝" w:hAnsi="ＭＳ 明朝" w:hint="eastAsia"/>
                <w:sz w:val="20"/>
                <w:szCs w:val="20"/>
                <w:vertAlign w:val="superscript"/>
              </w:rPr>
              <w:t>7)</w:t>
            </w:r>
          </w:p>
        </w:tc>
      </w:tr>
    </w:tbl>
    <w:p w14:paraId="6DC5D18E" w14:textId="77777777" w:rsidR="00FF0603" w:rsidRPr="00D314C2" w:rsidRDefault="00FF0603" w:rsidP="000645CB">
      <w:pPr>
        <w:jc w:val="left"/>
        <w:rPr>
          <w:rFonts w:ascii="ＭＳ 明朝" w:hAnsi="ＭＳ 明朝"/>
          <w:sz w:val="20"/>
          <w:szCs w:val="20"/>
        </w:rPr>
      </w:pPr>
    </w:p>
    <w:p w14:paraId="590514A5" w14:textId="02EA1C82" w:rsidR="00FF0603" w:rsidRPr="00D314C2" w:rsidRDefault="00FF0603" w:rsidP="0010284E">
      <w:pPr>
        <w:ind w:firstLineChars="100" w:firstLine="197"/>
        <w:jc w:val="left"/>
        <w:rPr>
          <w:rFonts w:ascii="ＭＳ 明朝" w:hAnsi="ＭＳ 明朝"/>
          <w:sz w:val="20"/>
          <w:szCs w:val="20"/>
        </w:rPr>
      </w:pPr>
      <w:r w:rsidRPr="00D314C2">
        <w:rPr>
          <w:rFonts w:ascii="ＭＳ 明朝" w:hAnsi="ＭＳ 明朝" w:hint="eastAsia"/>
          <w:sz w:val="20"/>
          <w:szCs w:val="20"/>
        </w:rPr>
        <w:t>一方、「金属疲労の本質は塑性変形である」という考え</w:t>
      </w:r>
      <w:r w:rsidR="00CD7A0C" w:rsidRPr="00D314C2">
        <w:rPr>
          <w:rFonts w:ascii="ＭＳ 明朝" w:hAnsi="ＭＳ 明朝" w:hint="eastAsia"/>
          <w:noProof/>
          <w:sz w:val="20"/>
          <w:szCs w:val="20"/>
          <w:vertAlign w:val="superscript"/>
        </w:rPr>
        <w:t>9)</w:t>
      </w:r>
      <w:r w:rsidRPr="00D314C2">
        <w:rPr>
          <w:rFonts w:ascii="ＭＳ 明朝" w:hAnsi="ＭＳ 明朝" w:hint="eastAsia"/>
          <w:sz w:val="20"/>
          <w:szCs w:val="20"/>
        </w:rPr>
        <w:t>に基づけば、塑性変形メカニズムを制御することにより疲労耐久性を改善することは可能であると考えられる。また、疲労特性をすべり非可逆性(slip irreversibility)と関連付けて評価する試み</w:t>
      </w:r>
      <w:r w:rsidR="00CD7A0C" w:rsidRPr="00D314C2">
        <w:rPr>
          <w:rFonts w:ascii="ＭＳ 明朝" w:hAnsi="ＭＳ 明朝" w:hint="eastAsia"/>
          <w:noProof/>
          <w:sz w:val="20"/>
          <w:szCs w:val="20"/>
          <w:vertAlign w:val="superscript"/>
        </w:rPr>
        <w:t>10)-12)</w:t>
      </w:r>
      <w:r w:rsidRPr="00D314C2">
        <w:rPr>
          <w:rFonts w:ascii="ＭＳ 明朝" w:hAnsi="ＭＳ 明朝" w:hint="eastAsia"/>
          <w:sz w:val="20"/>
          <w:szCs w:val="20"/>
        </w:rPr>
        <w:t>もあり、例えば疲労寿命はすべり非可逆性に正の依存性を有すると提案されている</w:t>
      </w:r>
      <w:r w:rsidR="00CD7A0C" w:rsidRPr="00D314C2">
        <w:rPr>
          <w:rFonts w:ascii="ＭＳ 明朝" w:hAnsi="ＭＳ 明朝" w:hint="eastAsia"/>
          <w:noProof/>
          <w:sz w:val="20"/>
          <w:szCs w:val="20"/>
          <w:vertAlign w:val="superscript"/>
        </w:rPr>
        <w:t>12)</w:t>
      </w:r>
      <w:r w:rsidRPr="00D314C2">
        <w:rPr>
          <w:rFonts w:ascii="ＭＳ 明朝" w:hAnsi="ＭＳ 明朝" w:hint="eastAsia"/>
          <w:sz w:val="20"/>
          <w:szCs w:val="20"/>
        </w:rPr>
        <w:t>。裏を返せば、転位運動の可逆性を高めることで疲労寿命の改善は可能であると考えられる。</w:t>
      </w:r>
    </w:p>
    <w:p w14:paraId="32F5D2B0" w14:textId="7BAE8FB5" w:rsidR="00FF0603" w:rsidRPr="00D314C2" w:rsidRDefault="00FF0603" w:rsidP="00236EE5">
      <w:pPr>
        <w:ind w:firstLineChars="100" w:firstLine="197"/>
        <w:jc w:val="left"/>
        <w:rPr>
          <w:rFonts w:ascii="ＭＳ 明朝" w:hAnsi="ＭＳ 明朝"/>
          <w:sz w:val="20"/>
          <w:szCs w:val="20"/>
        </w:rPr>
      </w:pPr>
      <w:r w:rsidRPr="00D314C2">
        <w:rPr>
          <w:rFonts w:ascii="ＭＳ 明朝" w:hAnsi="ＭＳ 明朝" w:hint="eastAsia"/>
          <w:sz w:val="20"/>
          <w:szCs w:val="20"/>
        </w:rPr>
        <w:t>オーステナイト鋼は合金成分や変形温度によって多彩な塑性変形メカニズムを生じる。例えばTRIP/TWIP鋼は前者はマルテンサイト変態、後者は変形双晶を塑性変形メカニズムとして活用し、優れた強度-延性バランスを実現した鋼材である</w:t>
      </w:r>
      <w:r w:rsidR="00CD7A0C" w:rsidRPr="00D314C2">
        <w:rPr>
          <w:rFonts w:ascii="ＭＳ 明朝" w:hAnsi="ＭＳ 明朝" w:hint="eastAsia"/>
          <w:noProof/>
          <w:sz w:val="20"/>
          <w:szCs w:val="20"/>
          <w:vertAlign w:val="superscript"/>
        </w:rPr>
        <w:t>13)</w:t>
      </w:r>
      <w:r w:rsidRPr="00D314C2">
        <w:rPr>
          <w:rFonts w:ascii="ＭＳ 明朝" w:hAnsi="ＭＳ 明朝" w:hint="eastAsia"/>
          <w:sz w:val="20"/>
          <w:szCs w:val="20"/>
        </w:rPr>
        <w:t>。TRIP/TWIP鋼の開発主眼の大半は引張特性にあるのに対し(ただし、疲労特性に関する報告も見られるためいくつかを参考文献として示す</w:t>
      </w:r>
      <w:r w:rsidR="00CD7A0C" w:rsidRPr="00D314C2">
        <w:rPr>
          <w:rFonts w:ascii="ＭＳ 明朝" w:hAnsi="ＭＳ 明朝" w:hint="eastAsia"/>
          <w:noProof/>
          <w:sz w:val="20"/>
          <w:szCs w:val="20"/>
          <w:vertAlign w:val="superscript"/>
        </w:rPr>
        <w:t>14)-18)</w:t>
      </w:r>
      <w:r w:rsidRPr="00D314C2">
        <w:rPr>
          <w:rFonts w:ascii="ＭＳ 明朝" w:hAnsi="ＭＳ 明朝" w:hint="eastAsia"/>
          <w:sz w:val="20"/>
          <w:szCs w:val="20"/>
        </w:rPr>
        <w:t>)、筆者らは疲労変形に最適な塑性変形メカニズムを探索してきた。</w:t>
      </w:r>
    </w:p>
    <w:p w14:paraId="1BA06E20" w14:textId="08AE28E3" w:rsidR="00FF0603" w:rsidRPr="00D314C2" w:rsidRDefault="00FF0603" w:rsidP="0052422F">
      <w:pPr>
        <w:ind w:firstLineChars="100" w:firstLine="197"/>
        <w:jc w:val="left"/>
        <w:rPr>
          <w:rFonts w:ascii="ＭＳ 明朝" w:hAnsi="ＭＳ 明朝"/>
          <w:sz w:val="20"/>
          <w:szCs w:val="20"/>
        </w:rPr>
      </w:pPr>
      <w:r w:rsidRPr="00D314C2">
        <w:rPr>
          <w:rFonts w:ascii="ＭＳ 明朝" w:hAnsi="ＭＳ 明朝" w:hint="eastAsia"/>
          <w:sz w:val="20"/>
          <w:szCs w:val="20"/>
        </w:rPr>
        <w:t>その中で、J-PARCにおける中性子回折を用いたFe-Mn-</w:t>
      </w:r>
      <w:r w:rsidRPr="00D314C2">
        <w:rPr>
          <w:rFonts w:ascii="ＭＳ 明朝" w:hAnsi="ＭＳ 明朝" w:hint="eastAsia"/>
          <w:sz w:val="20"/>
          <w:szCs w:val="20"/>
        </w:rPr>
        <w:lastRenderedPageBreak/>
        <w:t>Si-Al鋼の疲労変形中の相変態挙動の測定実験を実施した</w:t>
      </w:r>
      <w:r w:rsidR="00CD7A0C" w:rsidRPr="00D314C2">
        <w:rPr>
          <w:rFonts w:ascii="ＭＳ 明朝" w:hAnsi="ＭＳ 明朝" w:hint="eastAsia"/>
          <w:noProof/>
          <w:sz w:val="20"/>
          <w:szCs w:val="20"/>
          <w:vertAlign w:val="superscript"/>
        </w:rPr>
        <w:t>19)</w:t>
      </w:r>
      <w:r w:rsidRPr="00D314C2">
        <w:rPr>
          <w:rFonts w:ascii="ＭＳ 明朝" w:hAnsi="ＭＳ 明朝" w:hint="eastAsia"/>
          <w:sz w:val="20"/>
          <w:szCs w:val="20"/>
        </w:rPr>
        <w:t>。この</w:t>
      </w:r>
      <w:r w:rsidR="00117DA6">
        <w:rPr>
          <w:rFonts w:ascii="ＭＳ 明朝" w:hAnsi="ＭＳ 明朝" w:hint="eastAsia"/>
          <w:sz w:val="20"/>
          <w:szCs w:val="20"/>
        </w:rPr>
        <w:t>実験</w:t>
      </w:r>
      <w:r w:rsidRPr="00D314C2">
        <w:rPr>
          <w:rFonts w:ascii="ＭＳ 明朝" w:hAnsi="ＭＳ 明朝" w:hint="eastAsia"/>
          <w:sz w:val="20"/>
          <w:szCs w:val="20"/>
        </w:rPr>
        <w:t>ではFe-30Mn-XSi-(6-X)Alなる公称組成を持つ鋼材系を用いた。同鋼材系の塑性変形ではFCCのγオーステナイトからHCPのεマルテンサイトへの変態(γ→εマルテンサイト変態)が主要な役割を有することから、γ→εマルテンサイト変態におけるGibbs自由エネルギー差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により各鋼材を特徴づけている。ΔG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は化学成分と温度から計算しているが、算出方法の詳細については</w:t>
      </w:r>
      <w:r w:rsidR="00117DA6">
        <w:rPr>
          <w:rFonts w:ascii="ＭＳ 明朝" w:hAnsi="ＭＳ 明朝" w:hint="eastAsia"/>
          <w:sz w:val="20"/>
          <w:szCs w:val="20"/>
        </w:rPr>
        <w:t>文献</w:t>
      </w:r>
      <w:r w:rsidR="00117DA6" w:rsidRPr="00117DA6">
        <w:rPr>
          <w:rFonts w:ascii="ＭＳ 明朝" w:hAnsi="ＭＳ 明朝" w:hint="eastAsia"/>
          <w:sz w:val="20"/>
          <w:szCs w:val="20"/>
          <w:vertAlign w:val="superscript"/>
        </w:rPr>
        <w:t>3)</w:t>
      </w:r>
      <w:r w:rsidRPr="00D314C2">
        <w:rPr>
          <w:rFonts w:ascii="ＭＳ 明朝" w:hAnsi="ＭＳ 明朝" w:hint="eastAsia"/>
          <w:sz w:val="20"/>
          <w:szCs w:val="20"/>
        </w:rPr>
        <w:t>において示している。図2が測定結果であり、負荷繰返し数の増加</w:t>
      </w:r>
      <w:r w:rsidR="00117DA6">
        <w:rPr>
          <w:rFonts w:ascii="ＭＳ 明朝" w:hAnsi="ＭＳ 明朝" w:hint="eastAsia"/>
          <w:sz w:val="20"/>
          <w:szCs w:val="20"/>
        </w:rPr>
        <w:t>(</w:t>
      </w:r>
      <w:r w:rsidR="00117DA6" w:rsidRPr="00D314C2">
        <w:rPr>
          <w:rFonts w:ascii="ＭＳ 明朝" w:hAnsi="ＭＳ 明朝" w:hint="eastAsia"/>
          <w:sz w:val="20"/>
          <w:szCs w:val="20"/>
        </w:rPr>
        <w:t>図中</w:t>
      </w:r>
      <w:r w:rsidR="00117DA6">
        <w:rPr>
          <w:rFonts w:ascii="ＭＳ 明朝" w:hAnsi="ＭＳ 明朝" w:hint="eastAsia"/>
          <w:sz w:val="20"/>
          <w:szCs w:val="20"/>
        </w:rPr>
        <w:t>下方</w:t>
      </w:r>
      <w:r w:rsidR="00117DA6" w:rsidRPr="00D314C2">
        <w:rPr>
          <w:rFonts w:ascii="ＭＳ 明朝" w:hAnsi="ＭＳ 明朝" w:hint="eastAsia"/>
          <w:sz w:val="20"/>
          <w:szCs w:val="20"/>
        </w:rPr>
        <w:t>から</w:t>
      </w:r>
      <w:r w:rsidR="00117DA6">
        <w:rPr>
          <w:rFonts w:ascii="ＭＳ 明朝" w:hAnsi="ＭＳ 明朝" w:hint="eastAsia"/>
          <w:sz w:val="20"/>
          <w:szCs w:val="20"/>
        </w:rPr>
        <w:t>上方の向き)</w:t>
      </w:r>
      <w:r w:rsidRPr="00D314C2">
        <w:rPr>
          <w:rFonts w:ascii="ＭＳ 明朝" w:hAnsi="ＭＳ 明朝" w:hint="eastAsia"/>
          <w:sz w:val="20"/>
          <w:szCs w:val="20"/>
        </w:rPr>
        <w:t>に伴う</w:t>
      </w:r>
      <w:r w:rsidR="00117DA6">
        <w:rPr>
          <w:rFonts w:ascii="ＭＳ 明朝" w:hAnsi="ＭＳ 明朝" w:hint="eastAsia"/>
          <w:sz w:val="20"/>
          <w:szCs w:val="20"/>
        </w:rPr>
        <w:t>回折</w:t>
      </w:r>
      <w:r w:rsidRPr="00D314C2">
        <w:rPr>
          <w:rFonts w:ascii="ＭＳ 明朝" w:hAnsi="ＭＳ 明朝" w:hint="eastAsia"/>
          <w:sz w:val="20"/>
          <w:szCs w:val="20"/>
        </w:rPr>
        <w:t>強度の変化を示している。本測定に使用したBL19「匠」では入社ビームに対し直交2方向に検出器</w:t>
      </w:r>
      <w:r w:rsidR="00117DA6">
        <w:rPr>
          <w:rFonts w:ascii="ＭＳ 明朝" w:hAnsi="ＭＳ 明朝" w:hint="eastAsia"/>
          <w:sz w:val="20"/>
          <w:szCs w:val="20"/>
        </w:rPr>
        <w:t>が</w:t>
      </w:r>
      <w:r w:rsidRPr="00D314C2">
        <w:rPr>
          <w:rFonts w:ascii="ＭＳ 明朝" w:hAnsi="ＭＳ 明朝" w:hint="eastAsia"/>
          <w:sz w:val="20"/>
          <w:szCs w:val="20"/>
        </w:rPr>
        <w:t>設置</w:t>
      </w:r>
      <w:r w:rsidR="00117DA6">
        <w:rPr>
          <w:rFonts w:ascii="ＭＳ 明朝" w:hAnsi="ＭＳ 明朝" w:hint="eastAsia"/>
          <w:sz w:val="20"/>
          <w:szCs w:val="20"/>
        </w:rPr>
        <w:t>され</w:t>
      </w:r>
      <w:r w:rsidRPr="00D314C2">
        <w:rPr>
          <w:rFonts w:ascii="ＭＳ 明朝" w:hAnsi="ＭＳ 明朝" w:hint="eastAsia"/>
          <w:sz w:val="20"/>
          <w:szCs w:val="20"/>
        </w:rPr>
        <w:t>、LDおよびTDの同時計測を</w:t>
      </w:r>
      <w:r w:rsidR="00117DA6">
        <w:rPr>
          <w:rFonts w:ascii="ＭＳ 明朝" w:hAnsi="ＭＳ 明朝" w:hint="eastAsia"/>
          <w:sz w:val="20"/>
          <w:szCs w:val="20"/>
        </w:rPr>
        <w:t>可能としている</w:t>
      </w:r>
      <w:r w:rsidRPr="00D314C2">
        <w:rPr>
          <w:rFonts w:ascii="ＭＳ 明朝" w:hAnsi="ＭＳ 明朝" w:hint="eastAsia"/>
          <w:sz w:val="20"/>
          <w:szCs w:val="20"/>
        </w:rPr>
        <w:t>。ここでは、例えば(10-10)εの回折強度にご注目いただきたい。</w:t>
      </w:r>
      <w:r w:rsidR="00117DA6">
        <w:rPr>
          <w:rFonts w:ascii="ＭＳ 明朝" w:hAnsi="ＭＳ 明朝" w:hint="eastAsia"/>
          <w:sz w:val="20"/>
          <w:szCs w:val="20"/>
        </w:rPr>
        <w:t>図2(a)に示される</w:t>
      </w:r>
      <w:r w:rsidRPr="00D314C2">
        <w:rPr>
          <w:rFonts w:ascii="ＭＳ 明朝" w:hAnsi="ＭＳ 明朝" w:hint="eastAsia"/>
          <w:sz w:val="20"/>
          <w:szCs w:val="20"/>
        </w:rPr>
        <w:t>Fe-30Mn-5Si-1Alは室温においてΔG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-128 J/molと低い値を有し、中性子回折測定の結果、疲労サイクルの増加に伴いεマルテンサイトが単調に増加した。すなわち、ΔG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が十分に低い場合にはγ→εマルテンサイト変態が主要な疲労変形メカニズムとなる。一方、</w:t>
      </w:r>
      <w:r w:rsidR="00117DA6">
        <w:rPr>
          <w:rFonts w:ascii="ＭＳ 明朝" w:hAnsi="ＭＳ 明朝" w:hint="eastAsia"/>
          <w:sz w:val="20"/>
          <w:szCs w:val="20"/>
        </w:rPr>
        <w:t>同図(b)に示される</w:t>
      </w:r>
      <w:r w:rsidRPr="00D314C2">
        <w:rPr>
          <w:rFonts w:ascii="ＭＳ 明朝" w:hAnsi="ＭＳ 明朝" w:hint="eastAsia"/>
          <w:sz w:val="20"/>
          <w:szCs w:val="20"/>
        </w:rPr>
        <w:t>Fe-30Mn-4Si-2Alは室温においてΔG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-8.5 J/molと0付近の値を有するが、同鋼材では疲労サイクル中の引張と圧縮に対応してεマルテンサイトが生成と消滅を繰返す測定結果が得られた。この特異な可逆的挙動、すなわち「可逆γ↔ε変態」はΔG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0 J/molにおいてのみ見られる新たな疲労変形メカニズムである。</w:t>
      </w:r>
    </w:p>
    <w:p w14:paraId="74AD8056" w14:textId="77777777" w:rsidR="00FF0603" w:rsidRPr="00D314C2" w:rsidRDefault="00FF0603" w:rsidP="000645CB">
      <w:pPr>
        <w:jc w:val="left"/>
        <w:rPr>
          <w:rFonts w:ascii="ＭＳ 明朝" w:hAnsi="ＭＳ 明朝"/>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tblGrid>
      <w:tr w:rsidR="00FF0603" w:rsidRPr="00D314C2" w14:paraId="7F21BBE2" w14:textId="77777777" w:rsidTr="00C42FFE">
        <w:tc>
          <w:tcPr>
            <w:tcW w:w="5163" w:type="dxa"/>
          </w:tcPr>
          <w:p w14:paraId="3F2164B8" w14:textId="77777777" w:rsidR="00FF0603" w:rsidRPr="00D314C2" w:rsidRDefault="00FF0603" w:rsidP="00C42FFE">
            <w:pPr>
              <w:jc w:val="left"/>
              <w:rPr>
                <w:rFonts w:ascii="ＭＳ 明朝" w:hAnsi="ＭＳ 明朝"/>
                <w:sz w:val="20"/>
                <w:szCs w:val="20"/>
              </w:rPr>
            </w:pPr>
            <w:r w:rsidRPr="00D314C2">
              <w:rPr>
                <w:noProof/>
              </w:rPr>
              <w:drawing>
                <wp:inline distT="0" distB="0" distL="0" distR="0" wp14:anchorId="3D52DA19" wp14:editId="2E85B737">
                  <wp:extent cx="3132000" cy="4430093"/>
                  <wp:effectExtent l="0" t="0" r="0" b="8890"/>
                  <wp:docPr id="5278303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3035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2000" cy="4430093"/>
                          </a:xfrm>
                          <a:prstGeom prst="rect">
                            <a:avLst/>
                          </a:prstGeom>
                        </pic:spPr>
                      </pic:pic>
                    </a:graphicData>
                  </a:graphic>
                </wp:inline>
              </w:drawing>
            </w:r>
          </w:p>
        </w:tc>
      </w:tr>
      <w:tr w:rsidR="00FF0603" w:rsidRPr="00D314C2" w14:paraId="2E8C906D" w14:textId="77777777" w:rsidTr="00C42FFE">
        <w:tc>
          <w:tcPr>
            <w:tcW w:w="5163" w:type="dxa"/>
          </w:tcPr>
          <w:p w14:paraId="4C31D386" w14:textId="33DA286C" w:rsidR="00FF0603" w:rsidRPr="00D314C2" w:rsidRDefault="00FF0603" w:rsidP="00C42FFE">
            <w:pPr>
              <w:jc w:val="left"/>
              <w:rPr>
                <w:rFonts w:ascii="ＭＳ 明朝" w:hAnsi="ＭＳ 明朝"/>
                <w:sz w:val="20"/>
                <w:szCs w:val="20"/>
              </w:rPr>
            </w:pPr>
            <w:r w:rsidRPr="00D314C2">
              <w:rPr>
                <w:rFonts w:ascii="ＭＳ 明朝" w:hAnsi="ＭＳ 明朝"/>
                <w:sz w:val="20"/>
                <w:szCs w:val="20"/>
              </w:rPr>
              <w:t>図</w:t>
            </w:r>
            <w:r w:rsidRPr="00D314C2">
              <w:rPr>
                <w:rFonts w:ascii="ＭＳ 明朝" w:hAnsi="ＭＳ 明朝" w:hint="eastAsia"/>
                <w:sz w:val="20"/>
                <w:szCs w:val="20"/>
              </w:rPr>
              <w:t>2 J-PARC</w:t>
            </w:r>
            <w:r w:rsidRPr="00D314C2">
              <w:rPr>
                <w:rFonts w:ascii="ＭＳ 明朝" w:hAnsi="ＭＳ 明朝"/>
                <w:sz w:val="20"/>
                <w:szCs w:val="20"/>
              </w:rPr>
              <w:t>における</w:t>
            </w:r>
            <w:r w:rsidRPr="00D314C2">
              <w:rPr>
                <w:rFonts w:ascii="ＭＳ 明朝" w:hAnsi="ＭＳ 明朝" w:hint="eastAsia"/>
                <w:sz w:val="20"/>
                <w:szCs w:val="20"/>
              </w:rPr>
              <w:t>中性子回折法による</w:t>
            </w:r>
            <w:r w:rsidRPr="00D314C2">
              <w:rPr>
                <w:rFonts w:ascii="ＭＳ 明朝" w:hAnsi="ＭＳ 明朝"/>
                <w:sz w:val="20"/>
                <w:szCs w:val="20"/>
              </w:rPr>
              <w:t>疲労変形中の相変態挙動</w:t>
            </w:r>
            <w:r w:rsidRPr="00D314C2">
              <w:rPr>
                <w:rFonts w:ascii="ＭＳ 明朝" w:hAnsi="ＭＳ 明朝" w:hint="eastAsia"/>
                <w:sz w:val="20"/>
                <w:szCs w:val="20"/>
              </w:rPr>
              <w:t>：(a)Fe-30Mn-5Si-1Al(ΔG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-128 J/mol)、(b)Fe-30Mn-4Si-2Al（ΔG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-8.5 J/mol）</w:t>
            </w:r>
            <w:r w:rsidR="00CD7A0C" w:rsidRPr="00D314C2">
              <w:rPr>
                <w:rFonts w:ascii="ＭＳ 明朝" w:hAnsi="ＭＳ 明朝" w:hint="eastAsia"/>
                <w:sz w:val="20"/>
                <w:szCs w:val="20"/>
                <w:vertAlign w:val="superscript"/>
              </w:rPr>
              <w:t>19)</w:t>
            </w:r>
          </w:p>
        </w:tc>
      </w:tr>
    </w:tbl>
    <w:p w14:paraId="618D69C8" w14:textId="77777777" w:rsidR="00FF0603" w:rsidRPr="00D314C2" w:rsidRDefault="00FF0603" w:rsidP="000645CB">
      <w:pPr>
        <w:jc w:val="left"/>
        <w:rPr>
          <w:rFonts w:ascii="ＭＳ 明朝" w:hAnsi="ＭＳ 明朝"/>
          <w:sz w:val="20"/>
          <w:szCs w:val="20"/>
        </w:rPr>
      </w:pPr>
    </w:p>
    <w:p w14:paraId="092002BD" w14:textId="297C17D5" w:rsidR="00FF0603" w:rsidRPr="00D314C2" w:rsidRDefault="00FF0603" w:rsidP="006C44C6">
      <w:pPr>
        <w:ind w:firstLineChars="100" w:firstLine="197"/>
        <w:jc w:val="left"/>
        <w:rPr>
          <w:rFonts w:ascii="ＭＳ 明朝" w:hAnsi="ＭＳ 明朝"/>
          <w:sz w:val="20"/>
          <w:szCs w:val="20"/>
        </w:rPr>
      </w:pPr>
      <w:r w:rsidRPr="00D314C2">
        <w:rPr>
          <w:rFonts w:ascii="ＭＳ 明朝" w:hAnsi="ＭＳ 明朝" w:hint="eastAsia"/>
          <w:sz w:val="20"/>
          <w:szCs w:val="20"/>
        </w:rPr>
        <w:t>筆者らはΔG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をパラメータとして塑性変形メカニズムと疲労寿命の関係の整理を試みた(図3)</w:t>
      </w:r>
      <w:r w:rsidRPr="00D314C2">
        <w:t xml:space="preserve"> </w:t>
      </w:r>
      <w:r w:rsidR="00CD7A0C" w:rsidRPr="00D314C2">
        <w:rPr>
          <w:rFonts w:ascii="ＭＳ 明朝" w:hAnsi="ＭＳ 明朝" w:hint="eastAsia"/>
          <w:noProof/>
          <w:sz w:val="20"/>
          <w:szCs w:val="20"/>
          <w:vertAlign w:val="superscript"/>
        </w:rPr>
        <w:t>3)</w:t>
      </w:r>
      <w:r w:rsidRPr="00D314C2">
        <w:rPr>
          <w:rFonts w:ascii="ＭＳ 明朝" w:hAnsi="ＭＳ 明朝" w:hint="eastAsia"/>
          <w:sz w:val="20"/>
          <w:szCs w:val="20"/>
        </w:rPr>
        <w:t>。</w:t>
      </w:r>
      <w:r w:rsidR="00117DA6">
        <w:rPr>
          <w:rFonts w:ascii="ＭＳ 明朝" w:hAnsi="ＭＳ 明朝" w:hint="eastAsia"/>
          <w:sz w:val="20"/>
          <w:szCs w:val="20"/>
        </w:rPr>
        <w:t>図中には</w:t>
      </w:r>
      <w:r w:rsidRPr="00D314C2">
        <w:rPr>
          <w:rFonts w:ascii="ＭＳ 明朝" w:hAnsi="ＭＳ 明朝" w:hint="eastAsia"/>
          <w:sz w:val="20"/>
          <w:szCs w:val="20"/>
        </w:rPr>
        <w:t>J-PARCでの実験にも用いたFe-30Mn-XSi-(6-X)Al(X=0-6)(図中青色：TRIP/TWIP)に加えて、鉄系の形状記憶合金であるFe-28Mn-6Cr-5Si(図中緑色：SMA)とNIMSの開発鋼材であるFe-15Mn-10Cr-8Ni-4Si(図中赤色：FMS)の結果</w:t>
      </w:r>
      <w:r w:rsidR="00117DA6">
        <w:rPr>
          <w:rFonts w:ascii="ＭＳ 明朝" w:hAnsi="ＭＳ 明朝" w:hint="eastAsia"/>
          <w:sz w:val="20"/>
          <w:szCs w:val="20"/>
        </w:rPr>
        <w:t>を</w:t>
      </w:r>
      <w:r w:rsidRPr="00D314C2">
        <w:rPr>
          <w:rFonts w:ascii="ＭＳ 明朝" w:hAnsi="ＭＳ 明朝" w:hint="eastAsia"/>
          <w:sz w:val="20"/>
          <w:szCs w:val="20"/>
        </w:rPr>
        <w:t>掲載</w:t>
      </w:r>
      <w:r w:rsidR="00117DA6">
        <w:rPr>
          <w:rFonts w:ascii="ＭＳ 明朝" w:hAnsi="ＭＳ 明朝" w:hint="eastAsia"/>
          <w:sz w:val="20"/>
          <w:szCs w:val="20"/>
        </w:rPr>
        <w:t>し</w:t>
      </w:r>
      <w:r w:rsidRPr="00D314C2">
        <w:rPr>
          <w:rFonts w:ascii="ＭＳ 明朝" w:hAnsi="ＭＳ 明朝" w:hint="eastAsia"/>
          <w:sz w:val="20"/>
          <w:szCs w:val="20"/>
        </w:rPr>
        <w:t>ている。Fe-30Mn-Xsi-(6-X)Alについては成分によってΔG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を変化させている一方、Fe-28Mn-6Cr-5SiとFe-15Mn-10Cr-8Ni-4Si</w:t>
      </w:r>
      <w:r w:rsidR="00117DA6">
        <w:rPr>
          <w:rFonts w:ascii="ＭＳ 明朝" w:hAnsi="ＭＳ 明朝" w:hint="eastAsia"/>
          <w:sz w:val="20"/>
          <w:szCs w:val="20"/>
        </w:rPr>
        <w:t>で</w:t>
      </w:r>
      <w:r w:rsidRPr="00D314C2">
        <w:rPr>
          <w:rFonts w:ascii="ＭＳ 明朝" w:hAnsi="ＭＳ 明朝" w:hint="eastAsia"/>
          <w:sz w:val="20"/>
          <w:szCs w:val="20"/>
        </w:rPr>
        <w:t>は試験温度を変化させてΔG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を変化させている。同図において最も重要な結果は、可逆γ↔ε変態が生じるΔG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0 J/molの領域において特異的に極めて長い疲労寿命が得られることである。特に、Fe-15Mn-10Cr-8Ni-4Siは室温において可逆γ↔ε変態を生じるように設計された鋼材であり、図1に</w:t>
      </w:r>
      <w:r w:rsidR="0031445C">
        <w:rPr>
          <w:rFonts w:ascii="ＭＳ 明朝" w:hAnsi="ＭＳ 明朝" w:hint="eastAsia"/>
          <w:sz w:val="20"/>
          <w:szCs w:val="20"/>
        </w:rPr>
        <w:t>白丸</w:t>
      </w:r>
      <w:r w:rsidRPr="00D314C2">
        <w:rPr>
          <w:rFonts w:ascii="ＭＳ 明朝" w:hAnsi="ＭＳ 明朝" w:hint="eastAsia"/>
          <w:sz w:val="20"/>
          <w:szCs w:val="20"/>
        </w:rPr>
        <w:t>で示す通り、一般鋼材のおよそ10倍の疲労寿命を実現している。Fe-15Mn-10Cr-8Ni-4Siの驚異的な疲労耐久性は鋼材ダンパー心材と</w:t>
      </w:r>
      <w:r w:rsidRPr="00D314C2">
        <w:rPr>
          <w:rFonts w:ascii="ＭＳ 明朝" w:hAnsi="ＭＳ 明朝" w:hint="eastAsia"/>
          <w:sz w:val="20"/>
          <w:szCs w:val="20"/>
        </w:rPr>
        <w:lastRenderedPageBreak/>
        <w:t>して長周期地震動に</w:t>
      </w:r>
      <w:r w:rsidR="0031445C">
        <w:rPr>
          <w:rFonts w:ascii="ＭＳ 明朝" w:hAnsi="ＭＳ 明朝" w:hint="eastAsia"/>
          <w:sz w:val="20"/>
          <w:szCs w:val="20"/>
        </w:rPr>
        <w:t>対しても</w:t>
      </w:r>
      <w:r w:rsidRPr="00D314C2">
        <w:rPr>
          <w:rFonts w:ascii="ＭＳ 明朝" w:hAnsi="ＭＳ 明朝" w:hint="eastAsia"/>
          <w:sz w:val="20"/>
          <w:szCs w:val="20"/>
        </w:rPr>
        <w:t>十分な余裕度を確保できる性能であり、同鋼材からなる耐疲労鋼材ダンパーは南海トラフ巨大地震において特に甚大な被害が生じる恐れがある東海地方を中心に超高層ビルや大型展示場などにすでに導入されている</w:t>
      </w:r>
      <w:r w:rsidR="00CD7A0C" w:rsidRPr="00D314C2">
        <w:rPr>
          <w:rFonts w:ascii="ＭＳ 明朝" w:hAnsi="ＭＳ 明朝" w:hint="eastAsia"/>
          <w:noProof/>
          <w:sz w:val="20"/>
          <w:szCs w:val="20"/>
          <w:vertAlign w:val="superscript"/>
        </w:rPr>
        <w:t>4), 5)</w:t>
      </w:r>
      <w:r w:rsidRPr="00D314C2">
        <w:rPr>
          <w:rFonts w:ascii="ＭＳ 明朝" w:hAnsi="ＭＳ 明朝" w:hint="eastAsia"/>
          <w:sz w:val="20"/>
          <w:szCs w:val="20"/>
        </w:rPr>
        <w:t>。</w:t>
      </w:r>
    </w:p>
    <w:p w14:paraId="2C15C169" w14:textId="77777777" w:rsidR="00FF0603" w:rsidRPr="00D314C2" w:rsidRDefault="00FF0603" w:rsidP="000645CB">
      <w:pPr>
        <w:jc w:val="left"/>
        <w:rPr>
          <w:rFonts w:ascii="ＭＳ 明朝" w:hAnsi="ＭＳ 明朝"/>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tblGrid>
      <w:tr w:rsidR="00FF0603" w:rsidRPr="00D314C2" w14:paraId="5D8C477E" w14:textId="77777777" w:rsidTr="00C42FFE">
        <w:tc>
          <w:tcPr>
            <w:tcW w:w="5163" w:type="dxa"/>
          </w:tcPr>
          <w:p w14:paraId="59A9AE30" w14:textId="77777777" w:rsidR="00FF0603" w:rsidRPr="00D314C2" w:rsidRDefault="00FF0603" w:rsidP="00C42FFE">
            <w:pPr>
              <w:jc w:val="left"/>
              <w:rPr>
                <w:rFonts w:ascii="ＭＳ 明朝" w:hAnsi="ＭＳ 明朝"/>
                <w:sz w:val="20"/>
                <w:szCs w:val="20"/>
              </w:rPr>
            </w:pPr>
            <w:r w:rsidRPr="00D314C2">
              <w:rPr>
                <w:noProof/>
              </w:rPr>
              <w:drawing>
                <wp:inline distT="0" distB="0" distL="0" distR="0" wp14:anchorId="5AD2936B" wp14:editId="5B6E52ED">
                  <wp:extent cx="3132000" cy="2363681"/>
                  <wp:effectExtent l="0" t="0" r="0" b="0"/>
                  <wp:docPr id="15414299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2995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2000" cy="2363681"/>
                          </a:xfrm>
                          <a:prstGeom prst="rect">
                            <a:avLst/>
                          </a:prstGeom>
                        </pic:spPr>
                      </pic:pic>
                    </a:graphicData>
                  </a:graphic>
                </wp:inline>
              </w:drawing>
            </w:r>
          </w:p>
        </w:tc>
      </w:tr>
      <w:tr w:rsidR="00FF0603" w:rsidRPr="00D314C2" w14:paraId="2CF28D8C" w14:textId="77777777" w:rsidTr="00C42FFE">
        <w:tc>
          <w:tcPr>
            <w:tcW w:w="5163" w:type="dxa"/>
          </w:tcPr>
          <w:p w14:paraId="699FA7BB" w14:textId="61C91750" w:rsidR="00FF0603" w:rsidRPr="00D314C2" w:rsidRDefault="00FF0603" w:rsidP="00C42FFE">
            <w:pPr>
              <w:jc w:val="left"/>
              <w:rPr>
                <w:rFonts w:ascii="ＭＳ 明朝" w:hAnsi="ＭＳ 明朝"/>
                <w:sz w:val="20"/>
                <w:szCs w:val="20"/>
              </w:rPr>
            </w:pPr>
            <w:r w:rsidRPr="00D314C2">
              <w:rPr>
                <w:rFonts w:ascii="ＭＳ 明朝" w:hAnsi="ＭＳ 明朝" w:hint="eastAsia"/>
                <w:sz w:val="20"/>
                <w:szCs w:val="20"/>
              </w:rPr>
              <w:t>図3 γ→εマルテンサイト変態におけるGibbs自由エネルギー差と疲労寿命の関係</w:t>
            </w:r>
            <w:r w:rsidR="00CD7A0C" w:rsidRPr="00D314C2">
              <w:rPr>
                <w:rFonts w:ascii="ＭＳ 明朝" w:hAnsi="ＭＳ 明朝" w:hint="eastAsia"/>
                <w:sz w:val="20"/>
                <w:szCs w:val="20"/>
                <w:vertAlign w:val="superscript"/>
              </w:rPr>
              <w:t>3)</w:t>
            </w:r>
          </w:p>
        </w:tc>
      </w:tr>
    </w:tbl>
    <w:p w14:paraId="702CFAD0" w14:textId="77777777" w:rsidR="00FF0603" w:rsidRPr="00D314C2" w:rsidRDefault="00FF0603" w:rsidP="000645CB">
      <w:pPr>
        <w:jc w:val="left"/>
        <w:rPr>
          <w:rFonts w:ascii="ＭＳ 明朝" w:hAnsi="ＭＳ 明朝"/>
          <w:sz w:val="20"/>
          <w:szCs w:val="20"/>
        </w:rPr>
      </w:pPr>
    </w:p>
    <w:p w14:paraId="089EFE4B" w14:textId="77777777"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3.開発鋼材の溶接性改善</w:t>
      </w:r>
    </w:p>
    <w:p w14:paraId="568E391E" w14:textId="4D33AA06"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 xml:space="preserve">　2.で説明した通り、ΔG</w:t>
      </w:r>
      <w:r w:rsidRPr="00D314C2">
        <w:rPr>
          <w:rFonts w:ascii="ＭＳ 明朝" w:hAnsi="ＭＳ 明朝" w:hint="eastAsia"/>
          <w:sz w:val="20"/>
          <w:szCs w:val="20"/>
          <w:vertAlign w:val="superscript"/>
        </w:rPr>
        <w:t>γ→ε</w:t>
      </w:r>
      <w:r w:rsidRPr="00D314C2">
        <w:rPr>
          <w:rFonts w:ascii="ＭＳ 明朝" w:hAnsi="ＭＳ 明朝" w:hint="eastAsia"/>
          <w:sz w:val="20"/>
          <w:szCs w:val="20"/>
        </w:rPr>
        <w:t xml:space="preserve"> ≈ 0 J/molを設計条件として可逆γ↔ε変態を生じさせることで高疲労耐久性のFe-15Mn-10Cr-8Ni-4Siが開発できた。一方、同鋼材は凝固割れ感受性が高く、溶接施工においては溶接構造体としての性能を確保するために施工条件への</w:t>
      </w:r>
      <w:r w:rsidR="0031445C">
        <w:rPr>
          <w:rFonts w:ascii="ＭＳ 明朝" w:hAnsi="ＭＳ 明朝" w:hint="eastAsia"/>
          <w:sz w:val="20"/>
          <w:szCs w:val="20"/>
        </w:rPr>
        <w:t>注意深い</w:t>
      </w:r>
      <w:r w:rsidRPr="00D314C2">
        <w:rPr>
          <w:rFonts w:ascii="ＭＳ 明朝" w:hAnsi="ＭＳ 明朝" w:hint="eastAsia"/>
          <w:sz w:val="20"/>
          <w:szCs w:val="20"/>
        </w:rPr>
        <w:t>配慮を必要とした。図4にFe-Mn-Cr-Ni-Siの計算状態図を示す</w:t>
      </w:r>
      <w:r w:rsidR="00CD7A0C" w:rsidRPr="00D314C2">
        <w:rPr>
          <w:rFonts w:ascii="ＭＳ 明朝" w:hAnsi="ＭＳ 明朝" w:hint="eastAsia"/>
          <w:noProof/>
          <w:sz w:val="20"/>
          <w:szCs w:val="20"/>
          <w:vertAlign w:val="superscript"/>
        </w:rPr>
        <w:t>20)</w:t>
      </w:r>
      <w:r w:rsidRPr="00D314C2">
        <w:rPr>
          <w:rFonts w:ascii="ＭＳ 明朝" w:hAnsi="ＭＳ 明朝" w:hint="eastAsia"/>
          <w:sz w:val="20"/>
          <w:szCs w:val="20"/>
        </w:rPr>
        <w:t>。同図に示される通りFe-15Mn-10Cr-8Ni-4Si(図中X0)はL(液相)→L+γ→γなる凝固経路を辿るが、これはAモードと呼ばれ、凝固割れを生じやすい凝固形態として知られる。一方、同図に併せて示されるCrを微増させ、Niを微減したFe-15Mn-11Cr-7.5Ni-4Si(図中X05)ではL→L+δ→L+γ+δ→L+γ→γのFAモード凝固が生じることが推定されるが、Aモードに対しFAモードでは凝固割れ感受性が抑制される傾向がある。そこで、実際にFe-15Mn-11Cr-7.5Ni-4Siを試作し、その凝固特性と疲労特性の評価を行った。</w:t>
      </w:r>
    </w:p>
    <w:p w14:paraId="293224BE" w14:textId="77777777" w:rsidR="00FF0603" w:rsidRPr="00D314C2" w:rsidRDefault="00FF0603" w:rsidP="000645CB">
      <w:pPr>
        <w:jc w:val="left"/>
        <w:rPr>
          <w:rFonts w:ascii="ＭＳ 明朝" w:hAnsi="ＭＳ 明朝"/>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tblGrid>
      <w:tr w:rsidR="00FF0603" w:rsidRPr="00D314C2" w14:paraId="51B9DBB4" w14:textId="77777777" w:rsidTr="00C42FFE">
        <w:tc>
          <w:tcPr>
            <w:tcW w:w="5163" w:type="dxa"/>
          </w:tcPr>
          <w:p w14:paraId="03B855A2" w14:textId="77777777" w:rsidR="00FF0603" w:rsidRPr="00D314C2" w:rsidRDefault="00FF0603" w:rsidP="00C42FFE">
            <w:pPr>
              <w:jc w:val="left"/>
              <w:rPr>
                <w:rFonts w:ascii="ＭＳ 明朝" w:hAnsi="ＭＳ 明朝"/>
                <w:sz w:val="20"/>
                <w:szCs w:val="20"/>
              </w:rPr>
            </w:pPr>
            <w:r w:rsidRPr="00D314C2">
              <w:rPr>
                <w:noProof/>
              </w:rPr>
              <w:drawing>
                <wp:inline distT="0" distB="0" distL="0" distR="0" wp14:anchorId="32702CE2" wp14:editId="1476AB54">
                  <wp:extent cx="3132000" cy="2436941"/>
                  <wp:effectExtent l="0" t="0" r="0" b="1905"/>
                  <wp:docPr id="465281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819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000" cy="2436941"/>
                          </a:xfrm>
                          <a:prstGeom prst="rect">
                            <a:avLst/>
                          </a:prstGeom>
                        </pic:spPr>
                      </pic:pic>
                    </a:graphicData>
                  </a:graphic>
                </wp:inline>
              </w:drawing>
            </w:r>
          </w:p>
        </w:tc>
      </w:tr>
      <w:tr w:rsidR="00FF0603" w:rsidRPr="00D314C2" w14:paraId="26BAD748" w14:textId="77777777" w:rsidTr="00C42FFE">
        <w:tc>
          <w:tcPr>
            <w:tcW w:w="5163" w:type="dxa"/>
          </w:tcPr>
          <w:p w14:paraId="622E568A" w14:textId="59281319" w:rsidR="00FF0603" w:rsidRPr="00D314C2" w:rsidRDefault="00FF0603" w:rsidP="00C42FFE">
            <w:pPr>
              <w:jc w:val="left"/>
              <w:rPr>
                <w:rFonts w:ascii="ＭＳ 明朝" w:hAnsi="ＭＳ 明朝"/>
                <w:sz w:val="20"/>
                <w:szCs w:val="20"/>
              </w:rPr>
            </w:pPr>
            <w:r w:rsidRPr="00D314C2">
              <w:rPr>
                <w:rFonts w:ascii="ＭＳ 明朝" w:hAnsi="ＭＳ 明朝" w:hint="eastAsia"/>
                <w:sz w:val="20"/>
                <w:szCs w:val="20"/>
              </w:rPr>
              <w:t>図4 計算状態図：X0はFe-15Mn-10Cr-8Ni-4Si、X05はFe-15Mn-11Cr-7.5Ni-4Si</w:t>
            </w:r>
            <w:r w:rsidR="00CD7A0C" w:rsidRPr="00D314C2">
              <w:rPr>
                <w:rFonts w:ascii="ＭＳ 明朝" w:hAnsi="ＭＳ 明朝" w:hint="eastAsia"/>
                <w:sz w:val="20"/>
                <w:szCs w:val="20"/>
                <w:vertAlign w:val="superscript"/>
              </w:rPr>
              <w:t>20)</w:t>
            </w:r>
          </w:p>
        </w:tc>
      </w:tr>
    </w:tbl>
    <w:p w14:paraId="68E1B541" w14:textId="77777777" w:rsidR="00FF0603" w:rsidRPr="00D314C2" w:rsidRDefault="00FF0603" w:rsidP="000645CB">
      <w:pPr>
        <w:jc w:val="left"/>
        <w:rPr>
          <w:rFonts w:ascii="ＭＳ 明朝" w:hAnsi="ＭＳ 明朝"/>
          <w:sz w:val="20"/>
          <w:szCs w:val="20"/>
        </w:rPr>
      </w:pPr>
    </w:p>
    <w:p w14:paraId="35F35F1F" w14:textId="602FE43E"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 xml:space="preserve">　凝固特性の評価にあたってはSPring-8における放射光技術を用いた溶接凝固過程のその場測定を行った</w:t>
      </w:r>
      <w:r w:rsidR="00CD7A0C" w:rsidRPr="00D314C2">
        <w:rPr>
          <w:rFonts w:ascii="ＭＳ 明朝" w:hAnsi="ＭＳ 明朝" w:hint="eastAsia"/>
          <w:noProof/>
          <w:sz w:val="20"/>
          <w:szCs w:val="20"/>
          <w:vertAlign w:val="superscript"/>
        </w:rPr>
        <w:t>21)</w:t>
      </w:r>
      <w:r w:rsidRPr="00D314C2">
        <w:rPr>
          <w:rFonts w:ascii="ＭＳ 明朝" w:hAnsi="ＭＳ 明朝" w:hint="eastAsia"/>
          <w:sz w:val="20"/>
          <w:szCs w:val="20"/>
        </w:rPr>
        <w:t>。同測定においては、透過X線によりデンドライト成長と凝固割れのイメージングを行うとともに、回折X線</w:t>
      </w:r>
      <w:r w:rsidR="0031445C">
        <w:rPr>
          <w:rFonts w:ascii="ＭＳ 明朝" w:hAnsi="ＭＳ 明朝" w:hint="eastAsia"/>
          <w:sz w:val="20"/>
          <w:szCs w:val="20"/>
        </w:rPr>
        <w:t>の</w:t>
      </w:r>
      <w:r w:rsidRPr="00D314C2">
        <w:rPr>
          <w:rFonts w:ascii="ＭＳ 明朝" w:hAnsi="ＭＳ 明朝" w:hint="eastAsia"/>
          <w:sz w:val="20"/>
          <w:szCs w:val="20"/>
        </w:rPr>
        <w:t>同時測定により凝固過程中の相変化を測定した。測定はFe-15Mn-10Cr-8Ni-4SiとFe-15Mn-11Cr-7.5Ni-4Siの双方について実施したが、ここでは例としてFe-15Mn-11Cr-7.5Ni-4Siに関する</w:t>
      </w:r>
      <w:r w:rsidR="0031445C">
        <w:rPr>
          <w:rFonts w:ascii="ＭＳ 明朝" w:hAnsi="ＭＳ 明朝" w:hint="eastAsia"/>
          <w:sz w:val="20"/>
          <w:szCs w:val="20"/>
        </w:rPr>
        <w:t>(a)</w:t>
      </w:r>
      <w:r w:rsidRPr="00D314C2">
        <w:rPr>
          <w:rFonts w:ascii="ＭＳ 明朝" w:hAnsi="ＭＳ 明朝" w:hint="eastAsia"/>
          <w:sz w:val="20"/>
          <w:szCs w:val="20"/>
        </w:rPr>
        <w:t>X線回折パターンと</w:t>
      </w:r>
      <w:r w:rsidR="0031445C">
        <w:rPr>
          <w:rFonts w:ascii="ＭＳ 明朝" w:hAnsi="ＭＳ 明朝" w:hint="eastAsia"/>
          <w:sz w:val="20"/>
          <w:szCs w:val="20"/>
        </w:rPr>
        <w:t>(b)</w:t>
      </w:r>
      <w:r w:rsidRPr="00D314C2">
        <w:rPr>
          <w:rFonts w:ascii="ＭＳ 明朝" w:hAnsi="ＭＳ 明朝" w:hint="eastAsia"/>
          <w:sz w:val="20"/>
          <w:szCs w:val="20"/>
        </w:rPr>
        <w:t>透過X線像を図5に示している。実験の結果、Fe-15Mn-10Cr-8Ni-4SiはAモードで凝固し、凝固割れを生じてしまうのに対し、Fe-15Mn-11Cr-7.5Ni-4Siでは凝固モードがFAモードに変化し(図5(a))、凝固割れが解消された(図5(b))。すなわち、図4に示されるわずかな化学成分の調整によって凝固割れ感受性を抑制することに成功した。さらに、図1に</w:t>
      </w:r>
      <w:r w:rsidR="0031445C">
        <w:rPr>
          <w:rFonts w:ascii="ＭＳ 明朝" w:hAnsi="ＭＳ 明朝" w:hint="eastAsia"/>
          <w:sz w:val="20"/>
          <w:szCs w:val="20"/>
        </w:rPr>
        <w:t>赤丸</w:t>
      </w:r>
      <w:r w:rsidRPr="00D314C2">
        <w:rPr>
          <w:rFonts w:ascii="ＭＳ 明朝" w:hAnsi="ＭＳ 明朝" w:hint="eastAsia"/>
          <w:sz w:val="20"/>
          <w:szCs w:val="20"/>
        </w:rPr>
        <w:t>で示す通り、Fe-15Mn-11Cr-7.5Ni-4SiはFe-15Mn-10Cr-8Ni-4Si（</w:t>
      </w:r>
      <w:r w:rsidR="0031445C">
        <w:rPr>
          <w:rFonts w:ascii="ＭＳ 明朝" w:hAnsi="ＭＳ 明朝" w:hint="eastAsia"/>
          <w:sz w:val="20"/>
          <w:szCs w:val="20"/>
        </w:rPr>
        <w:t>白丸</w:t>
      </w:r>
      <w:r w:rsidRPr="00D314C2">
        <w:rPr>
          <w:rFonts w:ascii="ＭＳ 明朝" w:hAnsi="ＭＳ 明朝" w:hint="eastAsia"/>
          <w:sz w:val="20"/>
          <w:szCs w:val="20"/>
        </w:rPr>
        <w:t>）と同等の優れた疲労耐久性を有することも明らかになった。以上のことから、新開発したFe-15Mn-11Cr-7.5Ni-4Siは良好な溶接性と卓越した疲労耐久性を兼備する鋼材であると言える。現在までにFe-15Mn-11Cr-7.5Ni-4Siを工業的プロセスにて大規模製造するとともに、溶接組立による鋼材ダンパーの実作と実大疲労試験を実施し、極めて良好な性能を発揮することを確認するなど、実用化に向けた取り組みを推し進めている。</w:t>
      </w:r>
    </w:p>
    <w:p w14:paraId="5495004D" w14:textId="77777777" w:rsidR="00FF0603" w:rsidRPr="00D314C2" w:rsidRDefault="00FF0603" w:rsidP="000645CB">
      <w:pPr>
        <w:jc w:val="left"/>
        <w:rPr>
          <w:rFonts w:ascii="ＭＳ 明朝" w:hAnsi="ＭＳ 明朝"/>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tblGrid>
      <w:tr w:rsidR="00FF0603" w:rsidRPr="00D314C2" w14:paraId="7E2C77E9" w14:textId="77777777" w:rsidTr="00C42FFE">
        <w:tc>
          <w:tcPr>
            <w:tcW w:w="5163" w:type="dxa"/>
          </w:tcPr>
          <w:p w14:paraId="73397438" w14:textId="77777777" w:rsidR="00FF0603" w:rsidRPr="00D314C2" w:rsidRDefault="00FF0603" w:rsidP="00C42FFE">
            <w:pPr>
              <w:jc w:val="left"/>
              <w:rPr>
                <w:rFonts w:ascii="ＭＳ 明朝" w:hAnsi="ＭＳ 明朝"/>
                <w:sz w:val="20"/>
                <w:szCs w:val="20"/>
              </w:rPr>
            </w:pPr>
            <w:r w:rsidRPr="00D314C2">
              <w:rPr>
                <w:noProof/>
              </w:rPr>
              <w:lastRenderedPageBreak/>
              <w:drawing>
                <wp:inline distT="0" distB="0" distL="0" distR="0" wp14:anchorId="27976519" wp14:editId="760E30AB">
                  <wp:extent cx="3132000" cy="2716660"/>
                  <wp:effectExtent l="0" t="0" r="0" b="7620"/>
                  <wp:docPr id="7383353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35372" name=""/>
                          <pic:cNvPicPr/>
                        </pic:nvPicPr>
                        <pic:blipFill>
                          <a:blip r:embed="rId11">
                            <a:extLst>
                              <a:ext uri="{28A0092B-C50C-407E-A947-70E740481C1C}">
                                <a14:useLocalDpi xmlns:a14="http://schemas.microsoft.com/office/drawing/2010/main" val="0"/>
                              </a:ext>
                            </a:extLst>
                          </a:blip>
                          <a:stretch>
                            <a:fillRect/>
                          </a:stretch>
                        </pic:blipFill>
                        <pic:spPr>
                          <a:xfrm>
                            <a:off x="0" y="0"/>
                            <a:ext cx="3132000" cy="2716660"/>
                          </a:xfrm>
                          <a:prstGeom prst="rect">
                            <a:avLst/>
                          </a:prstGeom>
                        </pic:spPr>
                      </pic:pic>
                    </a:graphicData>
                  </a:graphic>
                </wp:inline>
              </w:drawing>
            </w:r>
          </w:p>
        </w:tc>
      </w:tr>
      <w:tr w:rsidR="00FF0603" w:rsidRPr="00D314C2" w14:paraId="43022B04" w14:textId="77777777" w:rsidTr="00C42FFE">
        <w:tc>
          <w:tcPr>
            <w:tcW w:w="5163" w:type="dxa"/>
          </w:tcPr>
          <w:p w14:paraId="0B011152" w14:textId="5049EB4A" w:rsidR="00FF0603" w:rsidRPr="00D314C2" w:rsidRDefault="00FF0603" w:rsidP="00C42FFE">
            <w:pPr>
              <w:jc w:val="left"/>
              <w:rPr>
                <w:rFonts w:ascii="ＭＳ 明朝" w:hAnsi="ＭＳ 明朝"/>
                <w:sz w:val="20"/>
                <w:szCs w:val="20"/>
              </w:rPr>
            </w:pPr>
            <w:r w:rsidRPr="00D314C2">
              <w:rPr>
                <w:rFonts w:ascii="ＭＳ 明朝" w:hAnsi="ＭＳ 明朝" w:hint="eastAsia"/>
                <w:sz w:val="20"/>
                <w:szCs w:val="20"/>
              </w:rPr>
              <w:t>図5 Fe-15Mn-11Cr-7.5Ni-4Siに関するSPring-8における放射光技術を用いた溶接凝固過程のその場測定：(a)X線回折パターン、(b)透過X線像</w:t>
            </w:r>
            <w:r w:rsidR="00CD7A0C" w:rsidRPr="00D314C2">
              <w:rPr>
                <w:rFonts w:ascii="ＭＳ 明朝" w:hAnsi="ＭＳ 明朝" w:hint="eastAsia"/>
                <w:sz w:val="20"/>
                <w:szCs w:val="20"/>
                <w:vertAlign w:val="superscript"/>
              </w:rPr>
              <w:t>21)</w:t>
            </w:r>
          </w:p>
        </w:tc>
      </w:tr>
    </w:tbl>
    <w:p w14:paraId="45390315" w14:textId="77777777" w:rsidR="00FF0603" w:rsidRPr="00D314C2" w:rsidRDefault="00FF0603" w:rsidP="000645CB">
      <w:pPr>
        <w:jc w:val="left"/>
        <w:rPr>
          <w:rFonts w:ascii="ＭＳ 明朝" w:hAnsi="ＭＳ 明朝"/>
          <w:sz w:val="20"/>
          <w:szCs w:val="20"/>
        </w:rPr>
      </w:pPr>
    </w:p>
    <w:p w14:paraId="3738132C" w14:textId="77777777"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4.おわりに</w:t>
      </w:r>
    </w:p>
    <w:p w14:paraId="7D4450F4" w14:textId="5E780C0E" w:rsidR="00FF0603" w:rsidRPr="00D314C2" w:rsidRDefault="00FF0603" w:rsidP="000645CB">
      <w:pPr>
        <w:jc w:val="left"/>
        <w:rPr>
          <w:rFonts w:ascii="ＭＳ 明朝" w:hAnsi="ＭＳ 明朝"/>
          <w:sz w:val="20"/>
          <w:szCs w:val="20"/>
        </w:rPr>
      </w:pPr>
      <w:r w:rsidRPr="00D314C2">
        <w:rPr>
          <w:rFonts w:ascii="ＭＳ 明朝" w:hAnsi="ＭＳ 明朝" w:hint="eastAsia"/>
          <w:sz w:val="20"/>
          <w:szCs w:val="20"/>
        </w:rPr>
        <w:t xml:space="preserve">　本稿では、典型的な実験結果</w:t>
      </w:r>
      <w:r w:rsidR="0031445C">
        <w:rPr>
          <w:rFonts w:ascii="ＭＳ 明朝" w:hAnsi="ＭＳ 明朝" w:hint="eastAsia"/>
          <w:sz w:val="20"/>
          <w:szCs w:val="20"/>
        </w:rPr>
        <w:t>を交えて</w:t>
      </w:r>
      <w:r w:rsidRPr="00D314C2">
        <w:rPr>
          <w:rFonts w:ascii="ＭＳ 明朝" w:hAnsi="ＭＳ 明朝" w:hint="eastAsia"/>
          <w:sz w:val="20"/>
          <w:szCs w:val="20"/>
        </w:rPr>
        <w:t>疲労耐久性に優れた鋼材の開発成果</w:t>
      </w:r>
      <w:r w:rsidR="0031445C">
        <w:rPr>
          <w:rFonts w:ascii="ＭＳ 明朝" w:hAnsi="ＭＳ 明朝" w:hint="eastAsia"/>
          <w:sz w:val="20"/>
          <w:szCs w:val="20"/>
        </w:rPr>
        <w:t>とその材料設計指針</w:t>
      </w:r>
      <w:r w:rsidRPr="00D314C2">
        <w:rPr>
          <w:rFonts w:ascii="ＭＳ 明朝" w:hAnsi="ＭＳ 明朝" w:hint="eastAsia"/>
          <w:sz w:val="20"/>
          <w:szCs w:val="20"/>
        </w:rPr>
        <w:t>について紹介した。ここでは、すでに実用化されたあるいは現在実用化に向けて取り組みを進めている鋼材を中心に取り上げたが、ここで紹介した以外にもモデル材の開発とその特性調査を行い、耐疲労材料設計指針の高度化を図っている</w:t>
      </w:r>
      <w:r w:rsidR="00CD7A0C" w:rsidRPr="00D314C2">
        <w:rPr>
          <w:rFonts w:ascii="ＭＳ 明朝" w:hAnsi="ＭＳ 明朝" w:hint="eastAsia"/>
          <w:noProof/>
          <w:sz w:val="20"/>
          <w:szCs w:val="20"/>
          <w:vertAlign w:val="superscript"/>
        </w:rPr>
        <w:t>22), 23)</w:t>
      </w:r>
      <w:r w:rsidRPr="00D314C2">
        <w:rPr>
          <w:rFonts w:ascii="ＭＳ 明朝" w:hAnsi="ＭＳ 明朝" w:hint="eastAsia"/>
          <w:sz w:val="20"/>
          <w:szCs w:val="20"/>
        </w:rPr>
        <w:t>。</w:t>
      </w:r>
    </w:p>
    <w:p w14:paraId="40E295E7" w14:textId="12AAD716" w:rsidR="00FF0603" w:rsidRPr="00D314C2" w:rsidRDefault="00FF0603" w:rsidP="0089762D">
      <w:pPr>
        <w:ind w:firstLineChars="100" w:firstLine="197"/>
        <w:jc w:val="left"/>
        <w:rPr>
          <w:rFonts w:ascii="ＭＳ 明朝" w:hAnsi="ＭＳ 明朝"/>
          <w:sz w:val="20"/>
          <w:szCs w:val="20"/>
        </w:rPr>
      </w:pPr>
      <w:r w:rsidRPr="00D314C2">
        <w:rPr>
          <w:rFonts w:ascii="ＭＳ 明朝" w:hAnsi="ＭＳ 明朝" w:hint="eastAsia"/>
          <w:sz w:val="20"/>
          <w:szCs w:val="20"/>
        </w:rPr>
        <w:t>開発鋼材の実用化はNIMS単独で得た成果ではなく、NIMS、竹中工務店、淡路マテリアの産学共同体制によるものである。また、本稿でも紹介したJ-PARCやSPring-8での実験にあたっては、両施設のスタッフの方々に大いにご助力いただいた。モデル材の製造はNIMS材料溶解創製ユニットにて行った。また、材料の解析はNIMS電子顕微鏡ユニットにて行った。</w:t>
      </w:r>
      <w:r w:rsidR="0031445C" w:rsidRPr="00D314C2">
        <w:rPr>
          <w:rFonts w:ascii="ＭＳ 明朝" w:hAnsi="ＭＳ 明朝" w:hint="eastAsia"/>
          <w:sz w:val="20"/>
          <w:szCs w:val="20"/>
        </w:rPr>
        <w:t>ここに謝意を表する。</w:t>
      </w:r>
    </w:p>
    <w:p w14:paraId="4F9DA319" w14:textId="77777777" w:rsidR="00FF0603" w:rsidRPr="00D314C2" w:rsidRDefault="00FF0603" w:rsidP="000645CB">
      <w:pPr>
        <w:jc w:val="left"/>
        <w:rPr>
          <w:rFonts w:ascii="ＭＳ 明朝" w:hAnsi="ＭＳ 明朝"/>
          <w:sz w:val="20"/>
          <w:szCs w:val="20"/>
        </w:rPr>
      </w:pPr>
    </w:p>
    <w:p w14:paraId="42A21FD8" w14:textId="77777777" w:rsidR="00FF0603" w:rsidRPr="00D314C2" w:rsidRDefault="00FF0603" w:rsidP="00FF0603">
      <w:pPr>
        <w:jc w:val="left"/>
        <w:rPr>
          <w:rFonts w:ascii="ＭＳ 明朝" w:hAnsi="ＭＳ 明朝"/>
          <w:sz w:val="20"/>
          <w:szCs w:val="20"/>
        </w:rPr>
      </w:pPr>
      <w:r w:rsidRPr="00D314C2">
        <w:rPr>
          <w:rFonts w:ascii="ＭＳ 明朝" w:hAnsi="ＭＳ 明朝" w:hint="eastAsia"/>
          <w:sz w:val="20"/>
          <w:szCs w:val="20"/>
        </w:rPr>
        <w:t>参考文献</w:t>
      </w:r>
    </w:p>
    <w:p w14:paraId="60AC6C2C" w14:textId="3A155819"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w:t>
      </w:r>
      <w:r w:rsidRPr="00D314C2">
        <w:rPr>
          <w:rFonts w:ascii="ＭＳ 明朝" w:hAnsi="ＭＳ 明朝" w:hint="eastAsia"/>
          <w:sz w:val="20"/>
          <w:szCs w:val="20"/>
        </w:rPr>
        <w:t>)</w:t>
      </w:r>
      <w:r w:rsidR="00FF0603" w:rsidRPr="00D314C2">
        <w:rPr>
          <w:rFonts w:ascii="ＭＳ 明朝" w:hAnsi="ＭＳ 明朝"/>
          <w:sz w:val="20"/>
          <w:szCs w:val="20"/>
        </w:rPr>
        <w:t xml:space="preserve"> Nikulin et al., Int J Fatigue, 88 (2016) 132-141.</w:t>
      </w:r>
    </w:p>
    <w:p w14:paraId="51BEB17E" w14:textId="43F07DF1"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2</w:t>
      </w:r>
      <w:r w:rsidRPr="00D314C2">
        <w:rPr>
          <w:rFonts w:ascii="ＭＳ 明朝" w:hAnsi="ＭＳ 明朝" w:hint="eastAsia"/>
          <w:sz w:val="20"/>
          <w:szCs w:val="20"/>
        </w:rPr>
        <w:t>)</w:t>
      </w:r>
      <w:r w:rsidR="00FF0603" w:rsidRPr="00D314C2">
        <w:rPr>
          <w:rFonts w:ascii="ＭＳ 明朝" w:hAnsi="ＭＳ 明朝"/>
          <w:sz w:val="20"/>
          <w:szCs w:val="20"/>
        </w:rPr>
        <w:t xml:space="preserve"> Yoshinaka et al., Proc Struct </w:t>
      </w:r>
      <w:proofErr w:type="spellStart"/>
      <w:r w:rsidR="00FF0603" w:rsidRPr="00D314C2">
        <w:rPr>
          <w:rFonts w:ascii="ＭＳ 明朝" w:hAnsi="ＭＳ 明朝"/>
          <w:sz w:val="20"/>
          <w:szCs w:val="20"/>
        </w:rPr>
        <w:t>Integr</w:t>
      </w:r>
      <w:proofErr w:type="spellEnd"/>
      <w:r w:rsidR="00FF0603" w:rsidRPr="00D314C2">
        <w:rPr>
          <w:rFonts w:ascii="ＭＳ 明朝" w:hAnsi="ＭＳ 明朝"/>
          <w:sz w:val="20"/>
          <w:szCs w:val="20"/>
        </w:rPr>
        <w:t>, 19 (2019) 214-223.</w:t>
      </w:r>
    </w:p>
    <w:p w14:paraId="1BAC22FD" w14:textId="07D39CA3"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3</w:t>
      </w:r>
      <w:r w:rsidRPr="00D314C2">
        <w:rPr>
          <w:rFonts w:ascii="ＭＳ 明朝" w:hAnsi="ＭＳ 明朝" w:hint="eastAsia"/>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Sawaguchi</w:t>
      </w:r>
      <w:proofErr w:type="spellEnd"/>
      <w:r w:rsidR="00FF0603" w:rsidRPr="00D314C2">
        <w:rPr>
          <w:rFonts w:ascii="ＭＳ 明朝" w:hAnsi="ＭＳ 明朝"/>
          <w:sz w:val="20"/>
          <w:szCs w:val="20"/>
        </w:rPr>
        <w:t xml:space="preserve"> et al., Act Mater, 220 (2021) 117267.</w:t>
      </w:r>
    </w:p>
    <w:p w14:paraId="35C7132F" w14:textId="4600DDC0"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4</w:t>
      </w:r>
      <w:r w:rsidRPr="00D314C2">
        <w:rPr>
          <w:rFonts w:ascii="ＭＳ 明朝" w:hAnsi="ＭＳ 明朝" w:hint="eastAsia"/>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Sawaguchi</w:t>
      </w:r>
      <w:proofErr w:type="spellEnd"/>
      <w:r w:rsidR="00FF0603" w:rsidRPr="00D314C2">
        <w:rPr>
          <w:rFonts w:ascii="ＭＳ 明朝" w:hAnsi="ＭＳ 明朝"/>
          <w:sz w:val="20"/>
          <w:szCs w:val="20"/>
        </w:rPr>
        <w:t xml:space="preserve"> et al., Mater Trans, 57 (2016) 283-293.</w:t>
      </w:r>
    </w:p>
    <w:p w14:paraId="3137D2A8" w14:textId="28C1C4FD"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5</w:t>
      </w:r>
      <w:r w:rsidR="00303630" w:rsidRPr="00D314C2">
        <w:rPr>
          <w:rFonts w:ascii="ＭＳ 明朝" w:hAnsi="ＭＳ 明朝"/>
          <w:sz w:val="20"/>
          <w:szCs w:val="20"/>
        </w:rPr>
        <w:t>)</w:t>
      </w:r>
      <w:r w:rsidR="00FF0603" w:rsidRPr="00D314C2">
        <w:rPr>
          <w:rFonts w:ascii="ＭＳ 明朝" w:hAnsi="ＭＳ 明朝"/>
          <w:sz w:val="20"/>
          <w:szCs w:val="20"/>
        </w:rPr>
        <w:t xml:space="preserve"> Chiba et al., Mater Trans, 65 (2024) 1583-1587.</w:t>
      </w:r>
    </w:p>
    <w:p w14:paraId="4599560A" w14:textId="4ADA06AB"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6</w:t>
      </w:r>
      <w:r w:rsidR="00303630" w:rsidRPr="00D314C2">
        <w:rPr>
          <w:rFonts w:ascii="ＭＳ 明朝" w:hAnsi="ＭＳ 明朝"/>
          <w:sz w:val="20"/>
          <w:szCs w:val="20"/>
        </w:rPr>
        <w:t>)</w:t>
      </w:r>
      <w:r w:rsidR="00FF0603" w:rsidRPr="00D314C2">
        <w:rPr>
          <w:rFonts w:ascii="ＭＳ 明朝" w:hAnsi="ＭＳ 明朝"/>
          <w:sz w:val="20"/>
          <w:szCs w:val="20"/>
        </w:rPr>
        <w:t xml:space="preserve"> Yoshinaka et al., Script Mater, 197 (2021) 113815.</w:t>
      </w:r>
    </w:p>
    <w:p w14:paraId="2686A3C3" w14:textId="65F7806E"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7</w:t>
      </w:r>
      <w:r w:rsidR="00303630" w:rsidRPr="00D314C2">
        <w:rPr>
          <w:rFonts w:ascii="ＭＳ 明朝" w:hAnsi="ＭＳ 明朝"/>
          <w:sz w:val="20"/>
          <w:szCs w:val="20"/>
        </w:rPr>
        <w:t>)</w:t>
      </w:r>
      <w:r w:rsidR="00FF0603" w:rsidRPr="00D314C2">
        <w:rPr>
          <w:rFonts w:ascii="ＭＳ 明朝" w:hAnsi="ＭＳ 明朝"/>
          <w:sz w:val="20"/>
          <w:szCs w:val="20"/>
        </w:rPr>
        <w:t xml:space="preserve"> </w:t>
      </w:r>
      <w:r w:rsidRPr="00D314C2">
        <w:rPr>
          <w:rFonts w:ascii="ＭＳ 明朝" w:hAnsi="ＭＳ 明朝" w:hint="eastAsia"/>
          <w:sz w:val="20"/>
          <w:szCs w:val="20"/>
        </w:rPr>
        <w:t>Furuya et al., Sci Tech Adv Mater, 20 (2019) 1055-1072.</w:t>
      </w:r>
    </w:p>
    <w:p w14:paraId="1645396C" w14:textId="1C66BB8E"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8</w:t>
      </w:r>
      <w:r w:rsidR="00303630" w:rsidRPr="00D314C2">
        <w:rPr>
          <w:rFonts w:ascii="ＭＳ 明朝" w:hAnsi="ＭＳ 明朝"/>
          <w:sz w:val="20"/>
          <w:szCs w:val="20"/>
        </w:rPr>
        <w:t>)</w:t>
      </w:r>
      <w:r w:rsidR="00FF0603" w:rsidRPr="00D314C2">
        <w:rPr>
          <w:rFonts w:ascii="ＭＳ 明朝" w:hAnsi="ＭＳ 明朝"/>
          <w:sz w:val="20"/>
          <w:szCs w:val="20"/>
        </w:rPr>
        <w:t xml:space="preserve"> Hatanaka, JSME Int J Ser. 1, Solid Mech Strength Mater, 33 (1990) 13-25.</w:t>
      </w:r>
    </w:p>
    <w:p w14:paraId="78B8A5F1" w14:textId="2E01DB39"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9</w:t>
      </w:r>
      <w:r w:rsidR="00303630" w:rsidRPr="00D314C2">
        <w:rPr>
          <w:rFonts w:ascii="ＭＳ 明朝" w:hAnsi="ＭＳ 明朝"/>
          <w:sz w:val="20"/>
          <w:szCs w:val="20"/>
        </w:rPr>
        <w:t>)</w:t>
      </w:r>
      <w:r w:rsidR="00FF0603" w:rsidRPr="00D314C2">
        <w:rPr>
          <w:rFonts w:ascii="ＭＳ 明朝" w:hAnsi="ＭＳ 明朝"/>
          <w:sz w:val="20"/>
          <w:szCs w:val="20"/>
        </w:rPr>
        <w:t xml:space="preserve"> 小林英男, 破壊力学, (2004).</w:t>
      </w:r>
    </w:p>
    <w:p w14:paraId="5EC31A37" w14:textId="01089D5D"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10</w:t>
      </w:r>
      <w:r w:rsidR="00303630" w:rsidRPr="00D314C2">
        <w:rPr>
          <w:rFonts w:ascii="ＭＳ 明朝" w:hAnsi="ＭＳ 明朝"/>
          <w:sz w:val="20"/>
          <w:szCs w:val="20"/>
        </w:rPr>
        <w:t>)</w:t>
      </w:r>
      <w:r w:rsidR="00FF0603" w:rsidRPr="00D314C2">
        <w:rPr>
          <w:rFonts w:ascii="ＭＳ 明朝" w:hAnsi="ＭＳ 明朝"/>
          <w:sz w:val="20"/>
          <w:szCs w:val="20"/>
        </w:rPr>
        <w:t xml:space="preserve"> Shyam et al., Act Mater, 53 (2005) 835-844.</w:t>
      </w:r>
    </w:p>
    <w:p w14:paraId="7DD19FFF" w14:textId="37828DED"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11</w:t>
      </w:r>
      <w:r w:rsidR="00303630" w:rsidRPr="00D314C2">
        <w:rPr>
          <w:rFonts w:ascii="ＭＳ 明朝" w:hAnsi="ＭＳ 明朝"/>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Risbet</w:t>
      </w:r>
      <w:proofErr w:type="spellEnd"/>
      <w:r w:rsidR="00FF0603" w:rsidRPr="00D314C2">
        <w:rPr>
          <w:rFonts w:ascii="ＭＳ 明朝" w:hAnsi="ＭＳ 明朝"/>
          <w:sz w:val="20"/>
          <w:szCs w:val="20"/>
        </w:rPr>
        <w:t xml:space="preserve"> and </w:t>
      </w:r>
      <w:proofErr w:type="spellStart"/>
      <w:r w:rsidR="00FF0603" w:rsidRPr="00D314C2">
        <w:rPr>
          <w:rFonts w:ascii="ＭＳ 明朝" w:hAnsi="ＭＳ 明朝"/>
          <w:sz w:val="20"/>
          <w:szCs w:val="20"/>
        </w:rPr>
        <w:t>Feaugas</w:t>
      </w:r>
      <w:proofErr w:type="spellEnd"/>
      <w:r w:rsidR="00FF0603" w:rsidRPr="00D314C2">
        <w:rPr>
          <w:rFonts w:ascii="ＭＳ 明朝" w:hAnsi="ＭＳ 明朝"/>
          <w:sz w:val="20"/>
          <w:szCs w:val="20"/>
        </w:rPr>
        <w:t xml:space="preserve">, Eng </w:t>
      </w:r>
      <w:proofErr w:type="spellStart"/>
      <w:r w:rsidR="00FF0603" w:rsidRPr="00D314C2">
        <w:rPr>
          <w:rFonts w:ascii="ＭＳ 明朝" w:hAnsi="ＭＳ 明朝"/>
          <w:sz w:val="20"/>
          <w:szCs w:val="20"/>
        </w:rPr>
        <w:t>Fract</w:t>
      </w:r>
      <w:proofErr w:type="spellEnd"/>
      <w:r w:rsidR="00FF0603" w:rsidRPr="00D314C2">
        <w:rPr>
          <w:rFonts w:ascii="ＭＳ 明朝" w:hAnsi="ＭＳ 明朝"/>
          <w:sz w:val="20"/>
          <w:szCs w:val="20"/>
        </w:rPr>
        <w:t xml:space="preserve"> Mech, 75 (2008) 3511-3519.</w:t>
      </w:r>
    </w:p>
    <w:p w14:paraId="6DF3E8AE" w14:textId="53A32CF0"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12</w:t>
      </w:r>
      <w:r w:rsidR="00303630" w:rsidRPr="00D314C2">
        <w:rPr>
          <w:rFonts w:ascii="ＭＳ 明朝" w:hAnsi="ＭＳ 明朝"/>
          <w:sz w:val="20"/>
          <w:szCs w:val="20"/>
        </w:rPr>
        <w:t>)</w:t>
      </w:r>
      <w:r w:rsidR="00FF0603" w:rsidRPr="00D314C2">
        <w:rPr>
          <w:rFonts w:ascii="ＭＳ 明朝" w:hAnsi="ＭＳ 明朝"/>
          <w:sz w:val="20"/>
          <w:szCs w:val="20"/>
        </w:rPr>
        <w:t xml:space="preserve"> Mughrabi, Act Mater, 61 (2013) 1197-1203.</w:t>
      </w:r>
    </w:p>
    <w:p w14:paraId="41323C8B" w14:textId="319FF4C2"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13</w:t>
      </w:r>
      <w:r w:rsidR="00303630" w:rsidRPr="00D314C2">
        <w:rPr>
          <w:rFonts w:ascii="ＭＳ 明朝" w:hAnsi="ＭＳ 明朝"/>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Grässel</w:t>
      </w:r>
      <w:proofErr w:type="spellEnd"/>
      <w:r w:rsidR="00FF0603" w:rsidRPr="00D314C2">
        <w:rPr>
          <w:rFonts w:ascii="ＭＳ 明朝" w:hAnsi="ＭＳ 明朝"/>
          <w:sz w:val="20"/>
          <w:szCs w:val="20"/>
        </w:rPr>
        <w:t xml:space="preserve"> et al., Int J Plast, 16 (2000) 1391-1409.</w:t>
      </w:r>
    </w:p>
    <w:p w14:paraId="3F49788A" w14:textId="4BC8A897"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14</w:t>
      </w:r>
      <w:r w:rsidR="00303630" w:rsidRPr="00D314C2">
        <w:rPr>
          <w:rFonts w:ascii="ＭＳ 明朝" w:hAnsi="ＭＳ 明朝"/>
          <w:sz w:val="20"/>
          <w:szCs w:val="20"/>
        </w:rPr>
        <w:t>)</w:t>
      </w:r>
      <w:r w:rsidR="00FF0603" w:rsidRPr="00D314C2">
        <w:rPr>
          <w:rFonts w:ascii="ＭＳ 明朝" w:hAnsi="ＭＳ 明朝"/>
          <w:sz w:val="20"/>
          <w:szCs w:val="20"/>
        </w:rPr>
        <w:t xml:space="preserve"> Shao et al., Act Mater, 118 (2016) 196-212.</w:t>
      </w:r>
    </w:p>
    <w:p w14:paraId="00A20A06" w14:textId="3716DFB5"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15</w:t>
      </w:r>
      <w:r w:rsidR="00303630" w:rsidRPr="00D314C2">
        <w:rPr>
          <w:rFonts w:ascii="ＭＳ 明朝" w:hAnsi="ＭＳ 明朝"/>
          <w:sz w:val="20"/>
          <w:szCs w:val="20"/>
        </w:rPr>
        <w:t>)</w:t>
      </w:r>
      <w:r w:rsidR="00FF0603" w:rsidRPr="00D314C2">
        <w:rPr>
          <w:rFonts w:ascii="ＭＳ 明朝" w:hAnsi="ＭＳ 明朝"/>
          <w:sz w:val="20"/>
          <w:szCs w:val="20"/>
        </w:rPr>
        <w:t xml:space="preserve"> Shao et al., Act Mater, 103 (2016) 781-795.</w:t>
      </w:r>
    </w:p>
    <w:p w14:paraId="63672B05" w14:textId="6CDDDD63"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16</w:t>
      </w:r>
      <w:r w:rsidR="00303630" w:rsidRPr="00D314C2">
        <w:rPr>
          <w:rFonts w:ascii="ＭＳ 明朝" w:hAnsi="ＭＳ 明朝"/>
          <w:sz w:val="20"/>
          <w:szCs w:val="20"/>
        </w:rPr>
        <w:t>)</w:t>
      </w:r>
      <w:r w:rsidR="00FF0603" w:rsidRPr="00D314C2">
        <w:rPr>
          <w:rFonts w:ascii="ＭＳ 明朝" w:hAnsi="ＭＳ 明朝"/>
          <w:sz w:val="20"/>
          <w:szCs w:val="20"/>
        </w:rPr>
        <w:t xml:space="preserve"> Klein et al., Metals, 8 (2018) 832.</w:t>
      </w:r>
    </w:p>
    <w:p w14:paraId="07EA4A6B" w14:textId="3DEB1668"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17</w:t>
      </w:r>
      <w:r w:rsidR="00303630" w:rsidRPr="00D314C2">
        <w:rPr>
          <w:rFonts w:ascii="ＭＳ 明朝" w:hAnsi="ＭＳ 明朝"/>
          <w:sz w:val="20"/>
          <w:szCs w:val="20"/>
        </w:rPr>
        <w:t>)</w:t>
      </w:r>
      <w:r w:rsidR="00FF0603" w:rsidRPr="00D314C2">
        <w:rPr>
          <w:rFonts w:ascii="ＭＳ 明朝" w:hAnsi="ＭＳ 明朝"/>
          <w:sz w:val="20"/>
          <w:szCs w:val="20"/>
        </w:rPr>
        <w:t xml:space="preserve"> Wang et al., J Struct Eng, 148 (2022) 04022170.</w:t>
      </w:r>
    </w:p>
    <w:p w14:paraId="4235A384" w14:textId="40D70030"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18</w:t>
      </w:r>
      <w:r w:rsidR="00303630" w:rsidRPr="00D314C2">
        <w:rPr>
          <w:rFonts w:ascii="ＭＳ 明朝" w:hAnsi="ＭＳ 明朝"/>
          <w:sz w:val="20"/>
          <w:szCs w:val="20"/>
        </w:rPr>
        <w:t>)</w:t>
      </w:r>
      <w:r w:rsidR="00FF0603" w:rsidRPr="00D314C2">
        <w:rPr>
          <w:rFonts w:ascii="ＭＳ 明朝" w:hAnsi="ＭＳ 明朝"/>
          <w:sz w:val="20"/>
          <w:szCs w:val="20"/>
        </w:rPr>
        <w:t xml:space="preserve"> Song et al., Int J Fatigue, 174 (2023) 107737.</w:t>
      </w:r>
    </w:p>
    <w:p w14:paraId="1ECEE515" w14:textId="0EF8B2A8"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19</w:t>
      </w:r>
      <w:r w:rsidR="00303630" w:rsidRPr="00D314C2">
        <w:rPr>
          <w:rFonts w:ascii="ＭＳ 明朝" w:hAnsi="ＭＳ 明朝"/>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Sawaguchi</w:t>
      </w:r>
      <w:proofErr w:type="spellEnd"/>
      <w:r w:rsidR="00FF0603" w:rsidRPr="00D314C2">
        <w:rPr>
          <w:rFonts w:ascii="ＭＳ 明朝" w:hAnsi="ＭＳ 明朝"/>
          <w:sz w:val="20"/>
          <w:szCs w:val="20"/>
        </w:rPr>
        <w:t xml:space="preserve"> et al., Act Mater, 242 (2023) 118494.</w:t>
      </w:r>
    </w:p>
    <w:p w14:paraId="02372036" w14:textId="44994ED3"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20</w:t>
      </w:r>
      <w:r w:rsidR="00303630" w:rsidRPr="00D314C2">
        <w:rPr>
          <w:rFonts w:ascii="ＭＳ 明朝" w:hAnsi="ＭＳ 明朝"/>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Nagira</w:t>
      </w:r>
      <w:proofErr w:type="spellEnd"/>
      <w:r w:rsidR="00FF0603" w:rsidRPr="00D314C2">
        <w:rPr>
          <w:rFonts w:ascii="ＭＳ 明朝" w:hAnsi="ＭＳ 明朝"/>
          <w:sz w:val="20"/>
          <w:szCs w:val="20"/>
        </w:rPr>
        <w:t xml:space="preserve"> et al., Script Mater, 216 (2022) 114743.</w:t>
      </w:r>
    </w:p>
    <w:p w14:paraId="17DB7955" w14:textId="5310F22A"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21</w:t>
      </w:r>
      <w:r w:rsidR="00303630" w:rsidRPr="00D314C2">
        <w:rPr>
          <w:rFonts w:ascii="ＭＳ 明朝" w:hAnsi="ＭＳ 明朝"/>
          <w:sz w:val="20"/>
          <w:szCs w:val="20"/>
        </w:rPr>
        <w:t>)</w:t>
      </w:r>
      <w:r w:rsidR="00FF0603" w:rsidRPr="00D314C2">
        <w:rPr>
          <w:rFonts w:ascii="ＭＳ 明朝" w:hAnsi="ＭＳ 明朝"/>
          <w:sz w:val="20"/>
          <w:szCs w:val="20"/>
        </w:rPr>
        <w:t xml:space="preserve"> </w:t>
      </w:r>
      <w:proofErr w:type="spellStart"/>
      <w:r w:rsidR="00FF0603" w:rsidRPr="00D314C2">
        <w:rPr>
          <w:rFonts w:ascii="ＭＳ 明朝" w:hAnsi="ＭＳ 明朝"/>
          <w:sz w:val="20"/>
          <w:szCs w:val="20"/>
        </w:rPr>
        <w:t>Nagira</w:t>
      </w:r>
      <w:proofErr w:type="spellEnd"/>
      <w:r w:rsidR="00FF0603" w:rsidRPr="00D314C2">
        <w:rPr>
          <w:rFonts w:ascii="ＭＳ 明朝" w:hAnsi="ＭＳ 明朝"/>
          <w:sz w:val="20"/>
          <w:szCs w:val="20"/>
        </w:rPr>
        <w:t xml:space="preserve"> et al., Mater Charact, 214 (2024) 114093.</w:t>
      </w:r>
    </w:p>
    <w:p w14:paraId="59CA70D2" w14:textId="153B1890" w:rsidR="00FF0603" w:rsidRPr="00D314C2"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22</w:t>
      </w:r>
      <w:r w:rsidR="00303630" w:rsidRPr="00D314C2">
        <w:rPr>
          <w:rFonts w:ascii="ＭＳ 明朝" w:hAnsi="ＭＳ 明朝"/>
          <w:sz w:val="20"/>
          <w:szCs w:val="20"/>
        </w:rPr>
        <w:t>)</w:t>
      </w:r>
      <w:r w:rsidR="00FF0603" w:rsidRPr="00D314C2">
        <w:rPr>
          <w:rFonts w:ascii="ＭＳ 明朝" w:hAnsi="ＭＳ 明朝"/>
          <w:sz w:val="20"/>
          <w:szCs w:val="20"/>
        </w:rPr>
        <w:t xml:space="preserve"> Yoshinaka et al., Int J Fatigue, 171 (2023) 107581.</w:t>
      </w:r>
    </w:p>
    <w:p w14:paraId="6CC885CE" w14:textId="41E7B2D0" w:rsidR="00FF0603" w:rsidRPr="00FF0603" w:rsidRDefault="00CD7A0C" w:rsidP="00FF0603">
      <w:pPr>
        <w:jc w:val="left"/>
        <w:rPr>
          <w:rFonts w:ascii="ＭＳ 明朝" w:hAnsi="ＭＳ 明朝"/>
          <w:sz w:val="20"/>
          <w:szCs w:val="20"/>
        </w:rPr>
      </w:pPr>
      <w:r w:rsidRPr="00D314C2">
        <w:rPr>
          <w:rFonts w:ascii="ＭＳ 明朝" w:hAnsi="ＭＳ 明朝" w:hint="eastAsia"/>
          <w:sz w:val="20"/>
          <w:szCs w:val="20"/>
        </w:rPr>
        <w:t>(</w:t>
      </w:r>
      <w:r w:rsidR="00FF0603" w:rsidRPr="00D314C2">
        <w:rPr>
          <w:rFonts w:ascii="ＭＳ 明朝" w:hAnsi="ＭＳ 明朝"/>
          <w:sz w:val="20"/>
          <w:szCs w:val="20"/>
        </w:rPr>
        <w:t>23</w:t>
      </w:r>
      <w:r w:rsidR="00303630" w:rsidRPr="00D314C2">
        <w:rPr>
          <w:rFonts w:ascii="ＭＳ 明朝" w:hAnsi="ＭＳ 明朝"/>
          <w:sz w:val="20"/>
          <w:szCs w:val="20"/>
        </w:rPr>
        <w:t>)</w:t>
      </w:r>
      <w:r w:rsidR="00FF0603" w:rsidRPr="00D314C2">
        <w:rPr>
          <w:rFonts w:ascii="ＭＳ 明朝" w:hAnsi="ＭＳ 明朝"/>
          <w:sz w:val="20"/>
          <w:szCs w:val="20"/>
        </w:rPr>
        <w:t xml:space="preserve"> Yoshinaka et al., ISIJ Int, 64 (2024) 1197-1205.</w:t>
      </w:r>
    </w:p>
    <w:sectPr w:rsidR="00FF0603" w:rsidRPr="00FF0603" w:rsidSect="00FF0603">
      <w:type w:val="continuous"/>
      <w:pgSz w:w="11906" w:h="16838" w:code="9"/>
      <w:pgMar w:top="1985" w:right="567" w:bottom="1701" w:left="567" w:header="851" w:footer="992" w:gutter="0"/>
      <w:cols w:num="2" w:space="425"/>
      <w:docGrid w:type="linesAndChars" w:linePitch="292" w:charSpace="-6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1A45" w14:textId="77777777" w:rsidR="00E75876" w:rsidRDefault="00E75876" w:rsidP="00297973">
      <w:r>
        <w:separator/>
      </w:r>
    </w:p>
  </w:endnote>
  <w:endnote w:type="continuationSeparator" w:id="0">
    <w:p w14:paraId="38B1AE33" w14:textId="77777777" w:rsidR="00E75876" w:rsidRDefault="00E75876" w:rsidP="0029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C0CAB" w14:textId="77777777" w:rsidR="00E75876" w:rsidRDefault="00E75876" w:rsidP="00297973">
      <w:r>
        <w:separator/>
      </w:r>
    </w:p>
  </w:footnote>
  <w:footnote w:type="continuationSeparator" w:id="0">
    <w:p w14:paraId="23E7D0E0" w14:textId="77777777" w:rsidR="00E75876" w:rsidRDefault="00E75876" w:rsidP="00297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33391"/>
    <w:multiLevelType w:val="hybridMultilevel"/>
    <w:tmpl w:val="8DCE87F6"/>
    <w:lvl w:ilvl="0" w:tplc="9B20BF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770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F0603"/>
    <w:rsid w:val="00117DA6"/>
    <w:rsid w:val="00297973"/>
    <w:rsid w:val="00303630"/>
    <w:rsid w:val="0031445C"/>
    <w:rsid w:val="005D707F"/>
    <w:rsid w:val="00641085"/>
    <w:rsid w:val="00C00E6E"/>
    <w:rsid w:val="00CD7A0C"/>
    <w:rsid w:val="00D314C2"/>
    <w:rsid w:val="00E14650"/>
    <w:rsid w:val="00E75876"/>
    <w:rsid w:val="00EA758C"/>
    <w:rsid w:val="00F22D49"/>
    <w:rsid w:val="00FC4057"/>
    <w:rsid w:val="00FF0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F5F14D"/>
  <w15:chartTrackingRefBased/>
  <w15:docId w15:val="{43DEE9D9-4FCE-4FE3-A10E-B5A4E53A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603"/>
    <w:pPr>
      <w:widowControl w:val="0"/>
      <w:jc w:val="both"/>
    </w:pPr>
    <w:rPr>
      <w:rFonts w:asciiTheme="minorHAnsi" w:eastAsia="ＭＳ 明朝" w:hAnsiTheme="minorHAnsi"/>
      <w:sz w:val="21"/>
      <w14:ligatures w14:val="standardContextual"/>
    </w:rPr>
  </w:style>
  <w:style w:type="paragraph" w:styleId="1">
    <w:name w:val="heading 1"/>
    <w:basedOn w:val="a"/>
    <w:next w:val="a"/>
    <w:link w:val="10"/>
    <w:uiPriority w:val="9"/>
    <w:qFormat/>
    <w:rsid w:val="00FF06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06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060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F060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060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060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060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060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060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0603"/>
    <w:rPr>
      <w:rFonts w:asciiTheme="majorHAnsi" w:eastAsiaTheme="majorEastAsia" w:hAnsiTheme="majorHAnsi" w:cstheme="majorBidi"/>
      <w:color w:val="000000" w:themeColor="text1"/>
      <w:sz w:val="32"/>
      <w:szCs w:val="32"/>
      <w14:ligatures w14:val="standardContextual"/>
    </w:rPr>
  </w:style>
  <w:style w:type="character" w:customStyle="1" w:styleId="20">
    <w:name w:val="見出し 2 (文字)"/>
    <w:basedOn w:val="a0"/>
    <w:link w:val="2"/>
    <w:uiPriority w:val="9"/>
    <w:semiHidden/>
    <w:rsid w:val="00FF0603"/>
    <w:rPr>
      <w:rFonts w:asciiTheme="majorHAnsi" w:eastAsiaTheme="majorEastAsia" w:hAnsiTheme="majorHAnsi" w:cstheme="majorBidi"/>
      <w:color w:val="000000" w:themeColor="text1"/>
      <w:sz w:val="28"/>
      <w:szCs w:val="28"/>
      <w14:ligatures w14:val="standardContextual"/>
    </w:rPr>
  </w:style>
  <w:style w:type="character" w:customStyle="1" w:styleId="30">
    <w:name w:val="見出し 3 (文字)"/>
    <w:basedOn w:val="a0"/>
    <w:link w:val="3"/>
    <w:uiPriority w:val="9"/>
    <w:semiHidden/>
    <w:rsid w:val="00FF0603"/>
    <w:rPr>
      <w:rFonts w:asciiTheme="majorHAnsi" w:eastAsiaTheme="majorEastAsia" w:hAnsiTheme="majorHAnsi" w:cstheme="majorBidi"/>
      <w:color w:val="000000" w:themeColor="text1"/>
      <w:sz w:val="24"/>
      <w:szCs w:val="24"/>
      <w14:ligatures w14:val="standardContextual"/>
    </w:rPr>
  </w:style>
  <w:style w:type="character" w:customStyle="1" w:styleId="40">
    <w:name w:val="見出し 4 (文字)"/>
    <w:basedOn w:val="a0"/>
    <w:link w:val="4"/>
    <w:uiPriority w:val="9"/>
    <w:semiHidden/>
    <w:rsid w:val="00FF0603"/>
    <w:rPr>
      <w:rFonts w:asciiTheme="majorHAnsi" w:eastAsiaTheme="majorEastAsia" w:hAnsiTheme="majorHAnsi" w:cstheme="majorBidi"/>
      <w:color w:val="000000" w:themeColor="text1"/>
      <w:sz w:val="21"/>
      <w14:ligatures w14:val="standardContextual"/>
    </w:rPr>
  </w:style>
  <w:style w:type="character" w:customStyle="1" w:styleId="50">
    <w:name w:val="見出し 5 (文字)"/>
    <w:basedOn w:val="a0"/>
    <w:link w:val="5"/>
    <w:uiPriority w:val="9"/>
    <w:semiHidden/>
    <w:rsid w:val="00FF0603"/>
    <w:rPr>
      <w:rFonts w:asciiTheme="majorHAnsi" w:eastAsiaTheme="majorEastAsia" w:hAnsiTheme="majorHAnsi" w:cstheme="majorBidi"/>
      <w:color w:val="000000" w:themeColor="text1"/>
      <w:sz w:val="21"/>
      <w14:ligatures w14:val="standardContextual"/>
    </w:rPr>
  </w:style>
  <w:style w:type="character" w:customStyle="1" w:styleId="60">
    <w:name w:val="見出し 6 (文字)"/>
    <w:basedOn w:val="a0"/>
    <w:link w:val="6"/>
    <w:uiPriority w:val="9"/>
    <w:semiHidden/>
    <w:rsid w:val="00FF0603"/>
    <w:rPr>
      <w:rFonts w:asciiTheme="majorHAnsi" w:eastAsiaTheme="majorEastAsia" w:hAnsiTheme="majorHAnsi" w:cstheme="majorBidi"/>
      <w:color w:val="000000" w:themeColor="text1"/>
      <w:sz w:val="21"/>
      <w14:ligatures w14:val="standardContextual"/>
    </w:rPr>
  </w:style>
  <w:style w:type="character" w:customStyle="1" w:styleId="70">
    <w:name w:val="見出し 7 (文字)"/>
    <w:basedOn w:val="a0"/>
    <w:link w:val="7"/>
    <w:uiPriority w:val="9"/>
    <w:semiHidden/>
    <w:rsid w:val="00FF0603"/>
    <w:rPr>
      <w:rFonts w:asciiTheme="majorHAnsi" w:eastAsiaTheme="majorEastAsia" w:hAnsiTheme="majorHAnsi" w:cstheme="majorBidi"/>
      <w:color w:val="000000" w:themeColor="text1"/>
      <w:sz w:val="21"/>
      <w14:ligatures w14:val="standardContextual"/>
    </w:rPr>
  </w:style>
  <w:style w:type="character" w:customStyle="1" w:styleId="80">
    <w:name w:val="見出し 8 (文字)"/>
    <w:basedOn w:val="a0"/>
    <w:link w:val="8"/>
    <w:uiPriority w:val="9"/>
    <w:semiHidden/>
    <w:rsid w:val="00FF0603"/>
    <w:rPr>
      <w:rFonts w:asciiTheme="majorHAnsi" w:eastAsiaTheme="majorEastAsia" w:hAnsiTheme="majorHAnsi" w:cstheme="majorBidi"/>
      <w:color w:val="000000" w:themeColor="text1"/>
      <w:sz w:val="21"/>
      <w14:ligatures w14:val="standardContextual"/>
    </w:rPr>
  </w:style>
  <w:style w:type="character" w:customStyle="1" w:styleId="90">
    <w:name w:val="見出し 9 (文字)"/>
    <w:basedOn w:val="a0"/>
    <w:link w:val="9"/>
    <w:uiPriority w:val="9"/>
    <w:semiHidden/>
    <w:rsid w:val="00FF0603"/>
    <w:rPr>
      <w:rFonts w:asciiTheme="majorHAnsi" w:eastAsiaTheme="majorEastAsia" w:hAnsiTheme="majorHAnsi" w:cstheme="majorBidi"/>
      <w:color w:val="000000" w:themeColor="text1"/>
      <w:sz w:val="21"/>
      <w14:ligatures w14:val="standardContextual"/>
    </w:rPr>
  </w:style>
  <w:style w:type="paragraph" w:styleId="a3">
    <w:name w:val="Title"/>
    <w:basedOn w:val="a"/>
    <w:next w:val="a"/>
    <w:link w:val="a4"/>
    <w:uiPriority w:val="10"/>
    <w:qFormat/>
    <w:rsid w:val="00FF06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0603"/>
    <w:rPr>
      <w:rFonts w:asciiTheme="majorHAnsi" w:eastAsiaTheme="majorEastAsia" w:hAnsiTheme="majorHAnsi" w:cstheme="majorBidi"/>
      <w:spacing w:val="-10"/>
      <w:kern w:val="28"/>
      <w:sz w:val="56"/>
      <w:szCs w:val="56"/>
      <w14:ligatures w14:val="standardContextual"/>
    </w:rPr>
  </w:style>
  <w:style w:type="paragraph" w:styleId="a5">
    <w:name w:val="Subtitle"/>
    <w:basedOn w:val="a"/>
    <w:next w:val="a"/>
    <w:link w:val="a6"/>
    <w:uiPriority w:val="11"/>
    <w:qFormat/>
    <w:rsid w:val="00FF06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0603"/>
    <w:rPr>
      <w:rFonts w:asciiTheme="majorHAnsi" w:eastAsiaTheme="majorEastAsia" w:hAnsiTheme="majorHAnsi" w:cstheme="majorBidi"/>
      <w:color w:val="595959" w:themeColor="text1" w:themeTint="A6"/>
      <w:spacing w:val="15"/>
      <w:sz w:val="28"/>
      <w:szCs w:val="28"/>
      <w14:ligatures w14:val="standardContextual"/>
    </w:rPr>
  </w:style>
  <w:style w:type="paragraph" w:styleId="a7">
    <w:name w:val="Quote"/>
    <w:basedOn w:val="a"/>
    <w:next w:val="a"/>
    <w:link w:val="a8"/>
    <w:uiPriority w:val="29"/>
    <w:qFormat/>
    <w:rsid w:val="00FF0603"/>
    <w:pPr>
      <w:spacing w:before="160" w:after="160"/>
      <w:jc w:val="center"/>
    </w:pPr>
    <w:rPr>
      <w:i/>
      <w:iCs/>
      <w:color w:val="404040" w:themeColor="text1" w:themeTint="BF"/>
    </w:rPr>
  </w:style>
  <w:style w:type="character" w:customStyle="1" w:styleId="a8">
    <w:name w:val="引用文 (文字)"/>
    <w:basedOn w:val="a0"/>
    <w:link w:val="a7"/>
    <w:uiPriority w:val="29"/>
    <w:rsid w:val="00FF0603"/>
    <w:rPr>
      <w:rFonts w:asciiTheme="minorHAnsi" w:eastAsia="ＭＳ 明朝" w:hAnsiTheme="minorHAnsi"/>
      <w:i/>
      <w:iCs/>
      <w:color w:val="404040" w:themeColor="text1" w:themeTint="BF"/>
      <w:sz w:val="21"/>
      <w14:ligatures w14:val="standardContextual"/>
    </w:rPr>
  </w:style>
  <w:style w:type="paragraph" w:styleId="a9">
    <w:name w:val="List Paragraph"/>
    <w:basedOn w:val="a"/>
    <w:uiPriority w:val="34"/>
    <w:qFormat/>
    <w:rsid w:val="00FF0603"/>
    <w:pPr>
      <w:ind w:left="720"/>
      <w:contextualSpacing/>
    </w:pPr>
  </w:style>
  <w:style w:type="character" w:styleId="21">
    <w:name w:val="Intense Emphasis"/>
    <w:basedOn w:val="a0"/>
    <w:uiPriority w:val="21"/>
    <w:qFormat/>
    <w:rsid w:val="00FF0603"/>
    <w:rPr>
      <w:i/>
      <w:iCs/>
      <w:color w:val="0F4761" w:themeColor="accent1" w:themeShade="BF"/>
    </w:rPr>
  </w:style>
  <w:style w:type="paragraph" w:styleId="22">
    <w:name w:val="Intense Quote"/>
    <w:basedOn w:val="a"/>
    <w:next w:val="a"/>
    <w:link w:val="23"/>
    <w:uiPriority w:val="30"/>
    <w:qFormat/>
    <w:rsid w:val="00FF0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F0603"/>
    <w:rPr>
      <w:rFonts w:asciiTheme="minorHAnsi" w:eastAsia="ＭＳ 明朝" w:hAnsiTheme="minorHAnsi"/>
      <w:i/>
      <w:iCs/>
      <w:color w:val="0F4761" w:themeColor="accent1" w:themeShade="BF"/>
      <w:sz w:val="21"/>
      <w14:ligatures w14:val="standardContextual"/>
    </w:rPr>
  </w:style>
  <w:style w:type="character" w:styleId="24">
    <w:name w:val="Intense Reference"/>
    <w:basedOn w:val="a0"/>
    <w:uiPriority w:val="32"/>
    <w:qFormat/>
    <w:rsid w:val="00FF0603"/>
    <w:rPr>
      <w:b/>
      <w:bCs/>
      <w:smallCaps/>
      <w:color w:val="0F4761" w:themeColor="accent1" w:themeShade="BF"/>
      <w:spacing w:val="5"/>
    </w:rPr>
  </w:style>
  <w:style w:type="paragraph" w:styleId="aa">
    <w:name w:val="header"/>
    <w:basedOn w:val="a"/>
    <w:link w:val="ab"/>
    <w:uiPriority w:val="99"/>
    <w:unhideWhenUsed/>
    <w:rsid w:val="00FF0603"/>
    <w:pPr>
      <w:tabs>
        <w:tab w:val="center" w:pos="4252"/>
        <w:tab w:val="right" w:pos="8504"/>
      </w:tabs>
      <w:snapToGrid w:val="0"/>
    </w:pPr>
  </w:style>
  <w:style w:type="character" w:customStyle="1" w:styleId="ab">
    <w:name w:val="ヘッダー (文字)"/>
    <w:basedOn w:val="a0"/>
    <w:link w:val="aa"/>
    <w:uiPriority w:val="99"/>
    <w:rsid w:val="00FF0603"/>
    <w:rPr>
      <w:rFonts w:asciiTheme="minorHAnsi" w:eastAsia="ＭＳ 明朝" w:hAnsiTheme="minorHAnsi"/>
      <w:sz w:val="21"/>
      <w14:ligatures w14:val="standardContextual"/>
    </w:rPr>
  </w:style>
  <w:style w:type="paragraph" w:styleId="ac">
    <w:name w:val="footer"/>
    <w:basedOn w:val="a"/>
    <w:link w:val="ad"/>
    <w:uiPriority w:val="99"/>
    <w:unhideWhenUsed/>
    <w:rsid w:val="00FF0603"/>
    <w:pPr>
      <w:tabs>
        <w:tab w:val="center" w:pos="4252"/>
        <w:tab w:val="right" w:pos="8504"/>
      </w:tabs>
      <w:snapToGrid w:val="0"/>
    </w:pPr>
  </w:style>
  <w:style w:type="character" w:customStyle="1" w:styleId="ad">
    <w:name w:val="フッター (文字)"/>
    <w:basedOn w:val="a0"/>
    <w:link w:val="ac"/>
    <w:uiPriority w:val="99"/>
    <w:rsid w:val="00FF0603"/>
    <w:rPr>
      <w:rFonts w:asciiTheme="minorHAnsi" w:eastAsia="ＭＳ 明朝" w:hAnsiTheme="minorHAnsi"/>
      <w:sz w:val="21"/>
      <w14:ligatures w14:val="standardContextual"/>
    </w:rPr>
  </w:style>
  <w:style w:type="table" w:styleId="ae">
    <w:name w:val="Table Grid"/>
    <w:basedOn w:val="a1"/>
    <w:uiPriority w:val="39"/>
    <w:rsid w:val="00FF0603"/>
    <w:rPr>
      <w:rFonts w:asciiTheme="minorHAnsi" w:eastAsia="ＭＳ 明朝" w:hAnsiTheme="minorHAnsi"/>
      <w:sz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F0603"/>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FF0603"/>
    <w:rPr>
      <w:rFonts w:ascii="游明朝" w:eastAsia="游明朝" w:hAnsi="游明朝"/>
      <w:noProof/>
      <w14:ligatures w14:val="standardContextual"/>
    </w:rPr>
  </w:style>
  <w:style w:type="paragraph" w:customStyle="1" w:styleId="EndNoteBibliography">
    <w:name w:val="EndNote Bibliography"/>
    <w:basedOn w:val="a"/>
    <w:link w:val="EndNoteBibliography0"/>
    <w:rsid w:val="00FF0603"/>
    <w:pPr>
      <w:jc w:val="left"/>
    </w:pPr>
    <w:rPr>
      <w:rFonts w:ascii="游明朝" w:eastAsia="游明朝" w:hAnsi="游明朝"/>
      <w:noProof/>
      <w:sz w:val="20"/>
    </w:rPr>
  </w:style>
  <w:style w:type="character" w:customStyle="1" w:styleId="EndNoteBibliography0">
    <w:name w:val="EndNote Bibliography (文字)"/>
    <w:basedOn w:val="a0"/>
    <w:link w:val="EndNoteBibliography"/>
    <w:rsid w:val="00FF0603"/>
    <w:rPr>
      <w:rFonts w:ascii="游明朝" w:eastAsia="游明朝" w:hAnsi="游明朝"/>
      <w:noProof/>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3843</Words>
  <Characters>5542</Characters>
  <Application>Microsoft Office Word</Application>
  <DocSecurity>0</DocSecurity>
  <Lines>219</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YOSHINAKA Fumiyoshi</dc:creator>
  <cp:keywords/>
  <dc:description/>
  <cp:lastModifiedBy>YOSHINAKA Fumiyoshi</cp:lastModifiedBy>
  <cp:revision>7</cp:revision>
  <dcterms:created xsi:type="dcterms:W3CDTF">2025-03-28T01:15:00Z</dcterms:created>
  <dcterms:modified xsi:type="dcterms:W3CDTF">2025-03-28T02:30:00Z</dcterms:modified>
</cp:coreProperties>
</file>