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1BE15" w14:textId="22B1F1F2" w:rsidR="007A36FF" w:rsidRDefault="007A36FF" w:rsidP="00BC38D1">
      <w:pPr>
        <w:spacing w:line="300" w:lineRule="exact"/>
        <w:jc w:val="left"/>
        <w:rPr>
          <w:rFonts w:ascii="Times New Roman" w:hAnsi="Times New Roman"/>
          <w:b/>
          <w:sz w:val="24"/>
        </w:rPr>
      </w:pPr>
      <w:r>
        <w:rPr>
          <w:rFonts w:ascii="Times New Roman" w:hAnsi="Times New Roman" w:hint="eastAsia"/>
          <w:b/>
          <w:sz w:val="24"/>
        </w:rPr>
        <w:t>Interpretable St</w:t>
      </w:r>
      <w:r w:rsidR="00D915C8">
        <w:rPr>
          <w:rFonts w:ascii="Times New Roman" w:hAnsi="Times New Roman" w:hint="eastAsia"/>
          <w:b/>
          <w:sz w:val="24"/>
        </w:rPr>
        <w:t>r</w:t>
      </w:r>
      <w:r>
        <w:rPr>
          <w:rFonts w:ascii="Times New Roman" w:hAnsi="Times New Roman" w:hint="eastAsia"/>
          <w:b/>
          <w:sz w:val="24"/>
        </w:rPr>
        <w:t xml:space="preserve">uctural Evaluation of Metal-Oxide Nanostructures in STEM Images </w:t>
      </w:r>
    </w:p>
    <w:p w14:paraId="4B07CB59" w14:textId="232ADEA8" w:rsidR="001D7504" w:rsidRPr="00433366" w:rsidRDefault="007A36FF" w:rsidP="007A36FF">
      <w:pPr>
        <w:spacing w:line="300" w:lineRule="exact"/>
        <w:jc w:val="center"/>
        <w:rPr>
          <w:rFonts w:ascii="Times New Roman" w:hAnsi="Times New Roman"/>
          <w:b/>
          <w:sz w:val="24"/>
        </w:rPr>
      </w:pPr>
      <w:r>
        <w:rPr>
          <w:rFonts w:ascii="Times New Roman" w:hAnsi="Times New Roman" w:hint="eastAsia"/>
          <w:b/>
          <w:sz w:val="24"/>
        </w:rPr>
        <w:t>via Persistent Homology</w:t>
      </w:r>
    </w:p>
    <w:p w14:paraId="0510EE47" w14:textId="77777777" w:rsidR="005616A4" w:rsidRPr="00433366" w:rsidRDefault="005616A4" w:rsidP="00CD5957">
      <w:pPr>
        <w:spacing w:line="300" w:lineRule="exact"/>
        <w:jc w:val="left"/>
        <w:rPr>
          <w:rFonts w:ascii="Times New Roman" w:hAnsi="Times New Roman"/>
          <w:b/>
          <w:sz w:val="22"/>
          <w:szCs w:val="22"/>
        </w:rPr>
      </w:pPr>
    </w:p>
    <w:p w14:paraId="7591BE35" w14:textId="3C3E7823" w:rsidR="008C5C4B" w:rsidRPr="00BE47B2" w:rsidRDefault="00074D59" w:rsidP="00CD5957">
      <w:pPr>
        <w:spacing w:line="300" w:lineRule="exact"/>
        <w:jc w:val="left"/>
        <w:rPr>
          <w:rFonts w:ascii="Times New Roman" w:hAnsi="Times New Roman"/>
          <w:sz w:val="22"/>
          <w:szCs w:val="22"/>
        </w:rPr>
      </w:pPr>
      <w:r>
        <w:rPr>
          <w:rFonts w:ascii="Times New Roman" w:hAnsi="Times New Roman" w:hint="eastAsia"/>
          <w:sz w:val="22"/>
          <w:szCs w:val="22"/>
          <w:u w:val="single"/>
        </w:rPr>
        <w:t>Ryuto</w:t>
      </w:r>
      <w:r w:rsidR="001D7504" w:rsidRPr="00BE47B2">
        <w:rPr>
          <w:rFonts w:ascii="Times New Roman" w:hAnsi="Times New Roman"/>
          <w:sz w:val="22"/>
          <w:szCs w:val="22"/>
          <w:u w:val="single"/>
        </w:rPr>
        <w:t xml:space="preserve"> </w:t>
      </w:r>
      <w:r>
        <w:rPr>
          <w:rFonts w:ascii="Times New Roman" w:hAnsi="Times New Roman" w:hint="eastAsia"/>
          <w:sz w:val="22"/>
          <w:szCs w:val="22"/>
          <w:u w:val="single"/>
        </w:rPr>
        <w:t>Eguchi</w:t>
      </w:r>
      <w:r w:rsidR="001D7504" w:rsidRPr="00BE47B2">
        <w:rPr>
          <w:rFonts w:ascii="Times New Roman" w:hAnsi="Times New Roman"/>
          <w:sz w:val="22"/>
          <w:szCs w:val="22"/>
          <w:vertAlign w:val="superscript"/>
        </w:rPr>
        <w:t xml:space="preserve"> 1</w:t>
      </w:r>
      <w:r>
        <w:rPr>
          <w:rFonts w:ascii="Times New Roman" w:hAnsi="Times New Roman" w:hint="eastAsia"/>
          <w:sz w:val="22"/>
          <w:szCs w:val="22"/>
          <w:vertAlign w:val="superscript"/>
        </w:rPr>
        <w:t>,2</w:t>
      </w:r>
      <w:r w:rsidR="008C5C4B" w:rsidRPr="00BE47B2">
        <w:rPr>
          <w:rFonts w:ascii="Times New Roman" w:hAnsi="Times New Roman"/>
          <w:sz w:val="22"/>
          <w:szCs w:val="22"/>
        </w:rPr>
        <w:t xml:space="preserve">, </w:t>
      </w:r>
      <w:r>
        <w:rPr>
          <w:rFonts w:ascii="Times New Roman" w:hAnsi="Times New Roman" w:hint="eastAsia"/>
          <w:sz w:val="22"/>
          <w:szCs w:val="22"/>
        </w:rPr>
        <w:t>Yu Wen</w:t>
      </w:r>
      <w:r w:rsidR="008C5C4B" w:rsidRPr="00BE47B2">
        <w:rPr>
          <w:rFonts w:ascii="Times New Roman" w:hAnsi="Times New Roman"/>
          <w:sz w:val="22"/>
          <w:szCs w:val="22"/>
          <w:vertAlign w:val="superscript"/>
        </w:rPr>
        <w:t xml:space="preserve"> 1</w:t>
      </w:r>
      <w:r>
        <w:rPr>
          <w:rFonts w:ascii="Times New Roman" w:hAnsi="Times New Roman" w:hint="eastAsia"/>
          <w:sz w:val="22"/>
          <w:szCs w:val="22"/>
          <w:vertAlign w:val="superscript"/>
        </w:rPr>
        <w:t>,2</w:t>
      </w:r>
      <w:r>
        <w:rPr>
          <w:rFonts w:ascii="Times New Roman" w:hAnsi="Times New Roman" w:hint="eastAsia"/>
          <w:sz w:val="22"/>
          <w:szCs w:val="22"/>
        </w:rPr>
        <w:t>,</w:t>
      </w:r>
      <w:r w:rsidR="008C5C4B" w:rsidRPr="00BE47B2">
        <w:rPr>
          <w:rFonts w:ascii="Times New Roman" w:hAnsi="Times New Roman"/>
          <w:sz w:val="22"/>
          <w:szCs w:val="22"/>
        </w:rPr>
        <w:t xml:space="preserve"> </w:t>
      </w:r>
      <w:r>
        <w:rPr>
          <w:rFonts w:ascii="Times New Roman" w:hAnsi="Times New Roman" w:hint="eastAsia"/>
          <w:sz w:val="22"/>
          <w:szCs w:val="22"/>
        </w:rPr>
        <w:t xml:space="preserve">Hideki Abe </w:t>
      </w:r>
      <w:r>
        <w:rPr>
          <w:rFonts w:ascii="Times New Roman" w:hAnsi="Times New Roman" w:hint="eastAsia"/>
          <w:sz w:val="22"/>
          <w:szCs w:val="22"/>
          <w:vertAlign w:val="superscript"/>
        </w:rPr>
        <w:t>1</w:t>
      </w:r>
      <w:r w:rsidR="00897940">
        <w:rPr>
          <w:rFonts w:ascii="Times New Roman" w:hAnsi="Times New Roman" w:hint="eastAsia"/>
          <w:sz w:val="22"/>
          <w:szCs w:val="22"/>
          <w:vertAlign w:val="superscript"/>
        </w:rPr>
        <w:t>,3</w:t>
      </w:r>
      <w:r>
        <w:rPr>
          <w:rFonts w:ascii="Times New Roman" w:hAnsi="Times New Roman" w:hint="eastAsia"/>
          <w:sz w:val="22"/>
          <w:szCs w:val="22"/>
        </w:rPr>
        <w:t xml:space="preserve"> </w:t>
      </w:r>
      <w:r w:rsidR="008C5C4B" w:rsidRPr="00BE47B2">
        <w:rPr>
          <w:rFonts w:ascii="Times New Roman" w:hAnsi="Times New Roman"/>
          <w:sz w:val="22"/>
          <w:szCs w:val="22"/>
        </w:rPr>
        <w:t xml:space="preserve">and </w:t>
      </w:r>
      <w:r>
        <w:rPr>
          <w:rFonts w:ascii="Times New Roman" w:hAnsi="Times New Roman" w:hint="eastAsia"/>
          <w:sz w:val="22"/>
          <w:szCs w:val="22"/>
        </w:rPr>
        <w:t xml:space="preserve">Ayako Hashimoto </w:t>
      </w:r>
      <w:r>
        <w:rPr>
          <w:rFonts w:ascii="Times New Roman" w:hAnsi="Times New Roman" w:hint="eastAsia"/>
          <w:sz w:val="22"/>
          <w:szCs w:val="22"/>
          <w:vertAlign w:val="superscript"/>
        </w:rPr>
        <w:t>1,</w:t>
      </w:r>
      <w:r w:rsidR="008C5C4B" w:rsidRPr="00BE47B2">
        <w:rPr>
          <w:rFonts w:ascii="Times New Roman" w:hAnsi="Times New Roman"/>
          <w:sz w:val="22"/>
          <w:szCs w:val="22"/>
          <w:vertAlign w:val="superscript"/>
        </w:rPr>
        <w:t>2</w:t>
      </w:r>
    </w:p>
    <w:p w14:paraId="733ADBBB" w14:textId="48F46EA9" w:rsidR="001D7504" w:rsidRPr="00BE47B2" w:rsidRDefault="001D7504" w:rsidP="00CD5957">
      <w:pPr>
        <w:spacing w:line="300" w:lineRule="exact"/>
        <w:jc w:val="left"/>
        <w:rPr>
          <w:rFonts w:ascii="Times New Roman" w:hAnsi="Times New Roman"/>
          <w:sz w:val="22"/>
          <w:szCs w:val="22"/>
        </w:rPr>
      </w:pPr>
      <w:r w:rsidRPr="00BE47B2">
        <w:rPr>
          <w:rFonts w:ascii="Times New Roman" w:hAnsi="Times New Roman"/>
          <w:sz w:val="22"/>
          <w:szCs w:val="22"/>
          <w:vertAlign w:val="superscript"/>
        </w:rPr>
        <w:t xml:space="preserve">1 </w:t>
      </w:r>
      <w:r w:rsidR="00074D59">
        <w:rPr>
          <w:rFonts w:ascii="Times New Roman" w:hAnsi="Times New Roman" w:hint="eastAsia"/>
          <w:sz w:val="22"/>
          <w:szCs w:val="22"/>
        </w:rPr>
        <w:t>Research Center for Energy and Environmental Materials</w:t>
      </w:r>
      <w:r w:rsidRPr="00BE47B2">
        <w:rPr>
          <w:rFonts w:ascii="Times New Roman" w:hAnsi="Times New Roman"/>
          <w:sz w:val="22"/>
          <w:szCs w:val="22"/>
        </w:rPr>
        <w:t>, National Institute for Materials Science (NIMS)</w:t>
      </w:r>
    </w:p>
    <w:p w14:paraId="340C851A" w14:textId="247EB5AA" w:rsidR="001D7504" w:rsidRPr="00BE47B2" w:rsidRDefault="001D7504" w:rsidP="00CD5957">
      <w:pPr>
        <w:spacing w:line="300" w:lineRule="exact"/>
        <w:jc w:val="left"/>
        <w:rPr>
          <w:rFonts w:ascii="Times New Roman" w:hAnsi="Times New Roman"/>
          <w:sz w:val="22"/>
          <w:szCs w:val="22"/>
        </w:rPr>
      </w:pPr>
      <w:r w:rsidRPr="00BE47B2">
        <w:rPr>
          <w:rFonts w:ascii="Times New Roman" w:hAnsi="Times New Roman"/>
          <w:sz w:val="22"/>
          <w:szCs w:val="22"/>
          <w:vertAlign w:val="superscript"/>
        </w:rPr>
        <w:t xml:space="preserve">2 </w:t>
      </w:r>
      <w:r w:rsidR="00550B7E" w:rsidRPr="00550B7E">
        <w:rPr>
          <w:rFonts w:ascii="Times New Roman" w:hAnsi="Times New Roman"/>
          <w:sz w:val="22"/>
          <w:szCs w:val="22"/>
        </w:rPr>
        <w:t xml:space="preserve">Graduate School of </w:t>
      </w:r>
      <w:r w:rsidR="00897940">
        <w:rPr>
          <w:rFonts w:ascii="Times New Roman" w:hAnsi="Times New Roman" w:hint="eastAsia"/>
          <w:sz w:val="22"/>
          <w:szCs w:val="22"/>
        </w:rPr>
        <w:t>Science and Technology</w:t>
      </w:r>
      <w:r w:rsidRPr="00BE47B2">
        <w:rPr>
          <w:rFonts w:ascii="Times New Roman" w:hAnsi="Times New Roman"/>
          <w:sz w:val="22"/>
          <w:szCs w:val="22"/>
        </w:rPr>
        <w:t xml:space="preserve">, University of </w:t>
      </w:r>
      <w:r w:rsidR="00074D59">
        <w:rPr>
          <w:rFonts w:ascii="Times New Roman" w:hAnsi="Times New Roman" w:hint="eastAsia"/>
          <w:sz w:val="22"/>
          <w:szCs w:val="22"/>
        </w:rPr>
        <w:t>Tsukuba</w:t>
      </w:r>
    </w:p>
    <w:p w14:paraId="5F5B0D23" w14:textId="11C7D68A" w:rsidR="001D7504" w:rsidRDefault="00897940" w:rsidP="00CD5957">
      <w:pPr>
        <w:spacing w:line="300" w:lineRule="exact"/>
        <w:jc w:val="left"/>
        <w:rPr>
          <w:rFonts w:ascii="Times New Roman" w:hAnsi="Times New Roman"/>
          <w:color w:val="000000" w:themeColor="text1"/>
          <w:sz w:val="22"/>
          <w:szCs w:val="22"/>
        </w:rPr>
      </w:pPr>
      <w:r w:rsidRPr="00BF02BF">
        <w:rPr>
          <w:rFonts w:ascii="Times New Roman" w:hAnsi="Times New Roman"/>
          <w:color w:val="000000" w:themeColor="text1"/>
          <w:sz w:val="22"/>
          <w:szCs w:val="22"/>
          <w:vertAlign w:val="superscript"/>
        </w:rPr>
        <w:t>3</w:t>
      </w:r>
      <w:r w:rsidRPr="00BF02BF">
        <w:rPr>
          <w:rFonts w:ascii="Times New Roman" w:hAnsi="Times New Roman"/>
          <w:color w:val="000000" w:themeColor="text1"/>
          <w:sz w:val="22"/>
          <w:szCs w:val="22"/>
        </w:rPr>
        <w:t xml:space="preserve"> </w:t>
      </w:r>
      <w:r w:rsidR="00BF02BF" w:rsidRPr="00BF02BF">
        <w:rPr>
          <w:rFonts w:ascii="Times New Roman" w:hAnsi="Times New Roman" w:hint="eastAsia"/>
          <w:color w:val="000000" w:themeColor="text1"/>
          <w:sz w:val="22"/>
          <w:szCs w:val="22"/>
        </w:rPr>
        <w:t>Graduate School of Science and Engineering, Saitama University</w:t>
      </w:r>
    </w:p>
    <w:p w14:paraId="387E022F" w14:textId="77777777" w:rsidR="00BF02BF" w:rsidRPr="00BF02BF" w:rsidRDefault="00BF02BF" w:rsidP="00CD5957">
      <w:pPr>
        <w:spacing w:line="300" w:lineRule="exact"/>
        <w:jc w:val="left"/>
        <w:rPr>
          <w:rFonts w:ascii="Times New Roman" w:hAnsi="Times New Roman"/>
          <w:color w:val="000000" w:themeColor="text1"/>
          <w:sz w:val="22"/>
          <w:szCs w:val="22"/>
        </w:rPr>
      </w:pPr>
    </w:p>
    <w:p w14:paraId="148783AE" w14:textId="1BD2D47B" w:rsidR="00BB7069" w:rsidRPr="00D915C8" w:rsidRDefault="00D73864" w:rsidP="00D915C8">
      <w:pPr>
        <w:spacing w:line="300" w:lineRule="exact"/>
        <w:rPr>
          <w:rFonts w:ascii="Times New Roman" w:hAnsi="Times New Roman"/>
          <w:sz w:val="22"/>
          <w:szCs w:val="22"/>
        </w:rPr>
      </w:pPr>
      <w:r w:rsidRPr="00BE47B2">
        <w:rPr>
          <w:rFonts w:ascii="Times New Roman" w:hAnsi="Times New Roman"/>
          <w:sz w:val="22"/>
          <w:szCs w:val="22"/>
        </w:rPr>
        <w:t xml:space="preserve">  </w:t>
      </w:r>
      <w:r w:rsidR="007342E8" w:rsidRPr="007342E8">
        <w:rPr>
          <w:rFonts w:ascii="Times New Roman" w:hAnsi="Times New Roman"/>
          <w:sz w:val="22"/>
          <w:szCs w:val="22"/>
        </w:rPr>
        <w:t>Persistent homology is a powerful tool for quantifying various structures, but it is equally crucial to maintain its interpretability</w:t>
      </w:r>
      <w:r w:rsidR="007342E8">
        <w:rPr>
          <w:rFonts w:ascii="Times New Roman" w:hAnsi="Times New Roman" w:hint="eastAsia"/>
          <w:sz w:val="22"/>
          <w:szCs w:val="22"/>
        </w:rPr>
        <w:t xml:space="preserve"> for material design. </w:t>
      </w:r>
      <w:r w:rsidR="007342E8" w:rsidRPr="007342E8">
        <w:rPr>
          <w:rFonts w:ascii="Times New Roman" w:hAnsi="Times New Roman"/>
          <w:sz w:val="22"/>
          <w:szCs w:val="22"/>
        </w:rPr>
        <w:t>In this study, we extracted interpretable geometric features from the persistent diagrams (PDs) of scanning transmission electron microscopy (STEM) images of self-assembled Pt-CeO</w:t>
      </w:r>
      <w:r w:rsidR="007342E8" w:rsidRPr="007342E8">
        <w:rPr>
          <w:rFonts w:ascii="Times New Roman" w:hAnsi="Times New Roman"/>
          <w:sz w:val="22"/>
          <w:szCs w:val="22"/>
          <w:vertAlign w:val="subscript"/>
        </w:rPr>
        <w:t>2</w:t>
      </w:r>
      <w:r w:rsidR="007342E8" w:rsidRPr="007342E8">
        <w:rPr>
          <w:rFonts w:ascii="Times New Roman" w:hAnsi="Times New Roman"/>
          <w:sz w:val="22"/>
          <w:szCs w:val="22"/>
        </w:rPr>
        <w:t xml:space="preserve"> nanostructures synthesized under different annealing conditions.</w:t>
      </w:r>
      <w:r w:rsidR="00047C65">
        <w:rPr>
          <w:rFonts w:ascii="Times New Roman" w:hAnsi="Times New Roman" w:hint="eastAsia"/>
          <w:sz w:val="22"/>
          <w:szCs w:val="22"/>
        </w:rPr>
        <w:t xml:space="preserve"> Analysis of the PD quadrants provided five </w:t>
      </w:r>
      <w:r w:rsidR="0003665D">
        <w:rPr>
          <w:rFonts w:ascii="Times New Roman" w:hAnsi="Times New Roman" w:hint="eastAsia"/>
          <w:sz w:val="22"/>
          <w:szCs w:val="22"/>
        </w:rPr>
        <w:t xml:space="preserve">interpretable </w:t>
      </w:r>
      <w:r w:rsidR="00047C65">
        <w:rPr>
          <w:rFonts w:ascii="Times New Roman" w:hAnsi="Times New Roman" w:hint="eastAsia"/>
          <w:sz w:val="22"/>
          <w:szCs w:val="22"/>
        </w:rPr>
        <w:t>features: average width and total length of striped CeO</w:t>
      </w:r>
      <w:r w:rsidR="00047C65" w:rsidRPr="00047C65">
        <w:rPr>
          <w:rFonts w:ascii="Times New Roman" w:hAnsi="Times New Roman" w:hint="eastAsia"/>
          <w:sz w:val="22"/>
          <w:szCs w:val="22"/>
          <w:vertAlign w:val="subscript"/>
        </w:rPr>
        <w:t>2</w:t>
      </w:r>
      <w:r w:rsidR="00047C65">
        <w:rPr>
          <w:rFonts w:ascii="Times New Roman" w:hAnsi="Times New Roman" w:hint="eastAsia"/>
          <w:sz w:val="22"/>
          <w:szCs w:val="22"/>
        </w:rPr>
        <w:t xml:space="preserve"> phases, the number of CeO</w:t>
      </w:r>
      <w:r w:rsidR="00047C65" w:rsidRPr="00047C65">
        <w:rPr>
          <w:rFonts w:ascii="Times New Roman" w:hAnsi="Times New Roman" w:hint="eastAsia"/>
          <w:sz w:val="22"/>
          <w:szCs w:val="22"/>
          <w:vertAlign w:val="subscript"/>
        </w:rPr>
        <w:t>2</w:t>
      </w:r>
      <w:r w:rsidR="00047C65">
        <w:rPr>
          <w:rFonts w:ascii="Times New Roman" w:hAnsi="Times New Roman" w:hint="eastAsia"/>
          <w:sz w:val="22"/>
          <w:szCs w:val="22"/>
        </w:rPr>
        <w:t xml:space="preserve"> phases from zeroth PDs, and the numbers of ring- and arc-like structures from first PDs. </w:t>
      </w:r>
      <w:r w:rsidR="0003665D">
        <w:rPr>
          <w:rFonts w:ascii="Times New Roman" w:hAnsi="Times New Roman" w:hint="eastAsia"/>
          <w:sz w:val="22"/>
          <w:szCs w:val="22"/>
        </w:rPr>
        <w:t xml:space="preserve">Principal component analysis (PCA) and its component mapping onto PDs clarified that the number of small arc-like structures </w:t>
      </w:r>
      <w:r w:rsidR="00D915C8">
        <w:rPr>
          <w:rFonts w:ascii="Times New Roman" w:hAnsi="Times New Roman" w:hint="eastAsia"/>
          <w:sz w:val="22"/>
          <w:szCs w:val="22"/>
        </w:rPr>
        <w:t xml:space="preserve">is especially important for describing </w:t>
      </w:r>
      <w:r w:rsidR="00D915C8" w:rsidRPr="007342E8">
        <w:rPr>
          <w:rFonts w:ascii="Times New Roman" w:hAnsi="Times New Roman"/>
          <w:sz w:val="22"/>
          <w:szCs w:val="22"/>
        </w:rPr>
        <w:t>Pt-CeO</w:t>
      </w:r>
      <w:r w:rsidR="00D915C8" w:rsidRPr="007342E8">
        <w:rPr>
          <w:rFonts w:ascii="Times New Roman" w:hAnsi="Times New Roman"/>
          <w:sz w:val="22"/>
          <w:szCs w:val="22"/>
          <w:vertAlign w:val="subscript"/>
        </w:rPr>
        <w:t>2</w:t>
      </w:r>
      <w:r w:rsidR="00D915C8">
        <w:rPr>
          <w:rFonts w:ascii="Times New Roman" w:hAnsi="Times New Roman" w:hint="eastAsia"/>
          <w:sz w:val="22"/>
          <w:szCs w:val="22"/>
          <w:vertAlign w:val="subscript"/>
        </w:rPr>
        <w:t xml:space="preserve"> </w:t>
      </w:r>
      <w:r w:rsidR="00D915C8">
        <w:rPr>
          <w:rFonts w:ascii="Times New Roman" w:hAnsi="Times New Roman" w:hint="eastAsia"/>
          <w:sz w:val="22"/>
          <w:szCs w:val="22"/>
        </w:rPr>
        <w:t>nano- structural changes. This descriptor enabled us to quantify the degree of disorder, namely the density of bends, in nanostructures formed under different conditions. By using this descriptor along with the width of the CeO</w:t>
      </w:r>
      <w:r w:rsidR="00D915C8" w:rsidRPr="00D915C8">
        <w:rPr>
          <w:rFonts w:ascii="Times New Roman" w:hAnsi="Times New Roman" w:hint="eastAsia"/>
          <w:sz w:val="22"/>
          <w:szCs w:val="22"/>
          <w:vertAlign w:val="subscript"/>
        </w:rPr>
        <w:t>2</w:t>
      </w:r>
      <w:r w:rsidR="00D915C8">
        <w:rPr>
          <w:rFonts w:ascii="Times New Roman" w:hAnsi="Times New Roman" w:hint="eastAsia"/>
          <w:sz w:val="22"/>
          <w:szCs w:val="22"/>
          <w:vertAlign w:val="subscript"/>
        </w:rPr>
        <w:t xml:space="preserve"> </w:t>
      </w:r>
      <w:r w:rsidR="00D915C8">
        <w:rPr>
          <w:rFonts w:ascii="Times New Roman" w:hAnsi="Times New Roman" w:hint="eastAsia"/>
          <w:sz w:val="22"/>
          <w:szCs w:val="22"/>
        </w:rPr>
        <w:t>phase, we could classify 12 Pt-CeO</w:t>
      </w:r>
      <w:r w:rsidR="00D915C8" w:rsidRPr="00D915C8">
        <w:rPr>
          <w:rFonts w:ascii="Times New Roman" w:hAnsi="Times New Roman" w:hint="eastAsia"/>
          <w:sz w:val="22"/>
          <w:szCs w:val="22"/>
          <w:vertAlign w:val="subscript"/>
        </w:rPr>
        <w:t>2</w:t>
      </w:r>
      <w:r w:rsidR="00D915C8">
        <w:rPr>
          <w:rFonts w:ascii="Times New Roman" w:hAnsi="Times New Roman" w:hint="eastAsia"/>
          <w:sz w:val="22"/>
          <w:szCs w:val="22"/>
          <w:vertAlign w:val="subscript"/>
        </w:rPr>
        <w:t xml:space="preserve"> </w:t>
      </w:r>
      <w:r w:rsidR="00D915C8">
        <w:rPr>
          <w:rFonts w:ascii="Times New Roman" w:hAnsi="Times New Roman" w:hint="eastAsia"/>
          <w:sz w:val="22"/>
          <w:szCs w:val="22"/>
        </w:rPr>
        <w:t>nanostructures in an interpretable way</w:t>
      </w:r>
      <w:r w:rsidR="009D10AC">
        <w:rPr>
          <w:rFonts w:ascii="Times New Roman" w:hAnsi="Times New Roman" w:hint="eastAsia"/>
          <w:sz w:val="22"/>
          <w:szCs w:val="22"/>
        </w:rPr>
        <w:t xml:space="preserve"> [1]</w:t>
      </w:r>
      <w:r w:rsidR="00D915C8">
        <w:rPr>
          <w:rFonts w:ascii="Times New Roman" w:hAnsi="Times New Roman" w:hint="eastAsia"/>
          <w:sz w:val="22"/>
          <w:szCs w:val="22"/>
        </w:rPr>
        <w:t>.</w:t>
      </w:r>
    </w:p>
    <w:p w14:paraId="1214DF88" w14:textId="77777777" w:rsidR="007342E8" w:rsidRPr="00BB7069" w:rsidRDefault="007342E8" w:rsidP="00550B7E">
      <w:pPr>
        <w:spacing w:line="300" w:lineRule="exact"/>
        <w:ind w:firstLineChars="50" w:firstLine="110"/>
        <w:jc w:val="left"/>
        <w:rPr>
          <w:rFonts w:ascii="Times New Roman" w:hAnsi="Times New Roman"/>
          <w:sz w:val="22"/>
          <w:szCs w:val="22"/>
        </w:rPr>
      </w:pPr>
    </w:p>
    <w:p w14:paraId="01E02B8F" w14:textId="7379CCC7" w:rsidR="002964C6" w:rsidRPr="002964C6" w:rsidRDefault="006A11C9" w:rsidP="00550B7E">
      <w:pPr>
        <w:spacing w:line="320" w:lineRule="exact"/>
        <w:ind w:left="-14"/>
        <w:rPr>
          <w:rFonts w:ascii="Times New Roman" w:eastAsiaTheme="minorEastAsia" w:hAnsi="Times New Roman"/>
          <w:sz w:val="22"/>
          <w:szCs w:val="22"/>
        </w:rPr>
      </w:pPr>
      <w:r w:rsidRPr="006A11C9">
        <w:rPr>
          <w:rFonts w:ascii="Times New Roman" w:eastAsiaTheme="minorEastAsia" w:hAnsi="Times New Roman"/>
          <w:sz w:val="22"/>
          <w:szCs w:val="22"/>
        </w:rPr>
        <w:t>[1]</w:t>
      </w:r>
      <w:r w:rsidR="001D66F1">
        <w:rPr>
          <w:rFonts w:ascii="Times New Roman" w:eastAsiaTheme="minorEastAsia" w:hAnsi="Times New Roman" w:hint="eastAsia"/>
          <w:sz w:val="22"/>
          <w:szCs w:val="22"/>
        </w:rPr>
        <w:t xml:space="preserve"> </w:t>
      </w:r>
      <w:r w:rsidR="00550B7E">
        <w:rPr>
          <w:rFonts w:ascii="Times New Roman" w:eastAsiaTheme="minorEastAsia" w:hAnsi="Times New Roman" w:hint="eastAsia"/>
          <w:sz w:val="22"/>
          <w:szCs w:val="22"/>
        </w:rPr>
        <w:t>R. Eguchi et. al.</w:t>
      </w:r>
      <w:r w:rsidRPr="006A11C9">
        <w:rPr>
          <w:rFonts w:ascii="Times New Roman" w:eastAsiaTheme="minorEastAsia" w:hAnsi="Times New Roman"/>
          <w:sz w:val="22"/>
          <w:szCs w:val="22"/>
        </w:rPr>
        <w:t xml:space="preserve">, </w:t>
      </w:r>
      <w:r w:rsidR="00550B7E">
        <w:rPr>
          <w:rFonts w:ascii="Times New Roman" w:eastAsiaTheme="minorEastAsia" w:hAnsi="Times New Roman" w:hint="eastAsia"/>
          <w:b/>
          <w:bCs/>
          <w:i/>
          <w:iCs/>
          <w:sz w:val="22"/>
          <w:szCs w:val="22"/>
        </w:rPr>
        <w:t>Nanomaterials</w:t>
      </w:r>
      <w:r w:rsidR="001D66F1" w:rsidRPr="001D66F1">
        <w:rPr>
          <w:rFonts w:ascii="Times New Roman" w:eastAsiaTheme="minorEastAsia" w:hAnsi="Times New Roman" w:hint="eastAsia"/>
          <w:b/>
          <w:bCs/>
          <w:i/>
          <w:iCs/>
          <w:sz w:val="22"/>
          <w:szCs w:val="22"/>
        </w:rPr>
        <w:t>,</w:t>
      </w:r>
      <w:r w:rsidRPr="001D66F1">
        <w:rPr>
          <w:rFonts w:ascii="Times New Roman" w:eastAsiaTheme="minorEastAsia" w:hAnsi="Times New Roman"/>
          <w:b/>
          <w:bCs/>
          <w:sz w:val="22"/>
          <w:szCs w:val="22"/>
        </w:rPr>
        <w:t xml:space="preserve"> </w:t>
      </w:r>
      <w:r w:rsidR="00550B7E">
        <w:rPr>
          <w:rFonts w:ascii="Times New Roman" w:eastAsiaTheme="minorEastAsia" w:hAnsi="Times New Roman" w:hint="eastAsia"/>
          <w:b/>
          <w:bCs/>
          <w:sz w:val="22"/>
          <w:szCs w:val="22"/>
        </w:rPr>
        <w:t>14</w:t>
      </w:r>
      <w:r w:rsidRPr="006A11C9">
        <w:rPr>
          <w:rFonts w:ascii="Times New Roman" w:eastAsiaTheme="minorEastAsia" w:hAnsi="Times New Roman"/>
          <w:sz w:val="22"/>
          <w:szCs w:val="22"/>
        </w:rPr>
        <w:t xml:space="preserve">, </w:t>
      </w:r>
      <w:r w:rsidR="00550B7E">
        <w:rPr>
          <w:rFonts w:ascii="Times New Roman" w:eastAsiaTheme="minorEastAsia" w:hAnsi="Times New Roman" w:hint="eastAsia"/>
          <w:sz w:val="22"/>
          <w:szCs w:val="22"/>
        </w:rPr>
        <w:t>1413</w:t>
      </w:r>
      <w:r w:rsidRPr="006A11C9">
        <w:rPr>
          <w:rFonts w:ascii="Times New Roman" w:eastAsiaTheme="minorEastAsia" w:hAnsi="Times New Roman"/>
          <w:sz w:val="22"/>
          <w:szCs w:val="22"/>
        </w:rPr>
        <w:t xml:space="preserve"> (</w:t>
      </w:r>
      <w:r w:rsidR="00550B7E">
        <w:rPr>
          <w:rFonts w:ascii="Times New Roman" w:eastAsiaTheme="minorEastAsia" w:hAnsi="Times New Roman" w:hint="eastAsia"/>
          <w:sz w:val="22"/>
          <w:szCs w:val="22"/>
        </w:rPr>
        <w:t>2024</w:t>
      </w:r>
      <w:r w:rsidRPr="006A11C9">
        <w:rPr>
          <w:rFonts w:ascii="Times New Roman" w:eastAsiaTheme="minorEastAsia" w:hAnsi="Times New Roman"/>
          <w:sz w:val="22"/>
          <w:szCs w:val="22"/>
        </w:rPr>
        <w:t>)</w:t>
      </w:r>
      <w:r>
        <w:rPr>
          <w:rFonts w:ascii="Times New Roman" w:eastAsiaTheme="minorEastAsia" w:hAnsi="Times New Roman" w:hint="eastAsia"/>
          <w:sz w:val="22"/>
          <w:szCs w:val="22"/>
        </w:rPr>
        <w:t>.</w:t>
      </w:r>
    </w:p>
    <w:sectPr w:rsidR="002964C6" w:rsidRPr="002964C6" w:rsidSect="001D66F1">
      <w:type w:val="continuous"/>
      <w:pgSz w:w="11906" w:h="16838" w:code="9"/>
      <w:pgMar w:top="1418" w:right="1418" w:bottom="8505" w:left="1418" w:header="851" w:footer="992"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D89C8" w14:textId="77777777" w:rsidR="00171EF2" w:rsidRDefault="00171EF2">
      <w:r>
        <w:separator/>
      </w:r>
    </w:p>
  </w:endnote>
  <w:endnote w:type="continuationSeparator" w:id="0">
    <w:p w14:paraId="3E3E09C3" w14:textId="77777777" w:rsidR="00171EF2" w:rsidRDefault="0017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09A2B" w14:textId="77777777" w:rsidR="00171EF2" w:rsidRDefault="00171EF2">
      <w:r>
        <w:separator/>
      </w:r>
    </w:p>
  </w:footnote>
  <w:footnote w:type="continuationSeparator" w:id="0">
    <w:p w14:paraId="1B5C8B6D" w14:textId="77777777" w:rsidR="00171EF2" w:rsidRDefault="00171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A76430"/>
    <w:multiLevelType w:val="hybridMultilevel"/>
    <w:tmpl w:val="931E737E"/>
    <w:lvl w:ilvl="0" w:tplc="57BC541C">
      <w:start w:val="1"/>
      <w:numFmt w:val="decimal"/>
      <w:lvlText w:val="%1)"/>
      <w:lvlJc w:val="left"/>
      <w:pPr>
        <w:tabs>
          <w:tab w:val="num" w:pos="360"/>
        </w:tabs>
        <w:ind w:left="360" w:hanging="360"/>
      </w:pPr>
      <w:rPr>
        <w:rFonts w:hint="eastAsia"/>
      </w:rPr>
    </w:lvl>
    <w:lvl w:ilvl="1" w:tplc="511C06F2" w:tentative="1">
      <w:start w:val="1"/>
      <w:numFmt w:val="aiueoFullWidth"/>
      <w:lvlText w:val="(%2)"/>
      <w:lvlJc w:val="left"/>
      <w:pPr>
        <w:tabs>
          <w:tab w:val="num" w:pos="840"/>
        </w:tabs>
        <w:ind w:left="840" w:hanging="420"/>
      </w:pPr>
    </w:lvl>
    <w:lvl w:ilvl="2" w:tplc="C0DC3EA0" w:tentative="1">
      <w:start w:val="1"/>
      <w:numFmt w:val="decimalEnclosedCircle"/>
      <w:lvlText w:val="%3"/>
      <w:lvlJc w:val="left"/>
      <w:pPr>
        <w:tabs>
          <w:tab w:val="num" w:pos="1260"/>
        </w:tabs>
        <w:ind w:left="1260" w:hanging="420"/>
      </w:pPr>
    </w:lvl>
    <w:lvl w:ilvl="3" w:tplc="0D442E16" w:tentative="1">
      <w:start w:val="1"/>
      <w:numFmt w:val="decimal"/>
      <w:lvlText w:val="%4."/>
      <w:lvlJc w:val="left"/>
      <w:pPr>
        <w:tabs>
          <w:tab w:val="num" w:pos="1680"/>
        </w:tabs>
        <w:ind w:left="1680" w:hanging="420"/>
      </w:pPr>
    </w:lvl>
    <w:lvl w:ilvl="4" w:tplc="6FEC15D4" w:tentative="1">
      <w:start w:val="1"/>
      <w:numFmt w:val="aiueoFullWidth"/>
      <w:lvlText w:val="(%5)"/>
      <w:lvlJc w:val="left"/>
      <w:pPr>
        <w:tabs>
          <w:tab w:val="num" w:pos="2100"/>
        </w:tabs>
        <w:ind w:left="2100" w:hanging="420"/>
      </w:pPr>
    </w:lvl>
    <w:lvl w:ilvl="5" w:tplc="A344D4AA" w:tentative="1">
      <w:start w:val="1"/>
      <w:numFmt w:val="decimalEnclosedCircle"/>
      <w:lvlText w:val="%6"/>
      <w:lvlJc w:val="left"/>
      <w:pPr>
        <w:tabs>
          <w:tab w:val="num" w:pos="2520"/>
        </w:tabs>
        <w:ind w:left="2520" w:hanging="420"/>
      </w:pPr>
    </w:lvl>
    <w:lvl w:ilvl="6" w:tplc="1AE4E4A4" w:tentative="1">
      <w:start w:val="1"/>
      <w:numFmt w:val="decimal"/>
      <w:lvlText w:val="%7."/>
      <w:lvlJc w:val="left"/>
      <w:pPr>
        <w:tabs>
          <w:tab w:val="num" w:pos="2940"/>
        </w:tabs>
        <w:ind w:left="2940" w:hanging="420"/>
      </w:pPr>
    </w:lvl>
    <w:lvl w:ilvl="7" w:tplc="26DC149C" w:tentative="1">
      <w:start w:val="1"/>
      <w:numFmt w:val="aiueoFullWidth"/>
      <w:lvlText w:val="(%8)"/>
      <w:lvlJc w:val="left"/>
      <w:pPr>
        <w:tabs>
          <w:tab w:val="num" w:pos="3360"/>
        </w:tabs>
        <w:ind w:left="3360" w:hanging="420"/>
      </w:pPr>
    </w:lvl>
    <w:lvl w:ilvl="8" w:tplc="2BF6CBB8" w:tentative="1">
      <w:start w:val="1"/>
      <w:numFmt w:val="decimalEnclosedCircle"/>
      <w:lvlText w:val="%9"/>
      <w:lvlJc w:val="left"/>
      <w:pPr>
        <w:tabs>
          <w:tab w:val="num" w:pos="3780"/>
        </w:tabs>
        <w:ind w:left="3780" w:hanging="420"/>
      </w:pPr>
    </w:lvl>
  </w:abstractNum>
  <w:num w:numId="1" w16cid:durableId="163678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readOnly" w:formatting="1" w:enforcement="0"/>
  <w:defaultTabStop w:val="840"/>
  <w:drawingGridHorizontalSpacing w:val="105"/>
  <w:drawingGridVerticalSpacing w:val="32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4B"/>
    <w:rsid w:val="000000AB"/>
    <w:rsid w:val="0001397A"/>
    <w:rsid w:val="00015136"/>
    <w:rsid w:val="00017808"/>
    <w:rsid w:val="0003665D"/>
    <w:rsid w:val="00047C65"/>
    <w:rsid w:val="0005708B"/>
    <w:rsid w:val="000722CE"/>
    <w:rsid w:val="00074D59"/>
    <w:rsid w:val="000D46AE"/>
    <w:rsid w:val="00100EC4"/>
    <w:rsid w:val="00114D1C"/>
    <w:rsid w:val="001624D4"/>
    <w:rsid w:val="00171C13"/>
    <w:rsid w:val="00171EF2"/>
    <w:rsid w:val="00177C90"/>
    <w:rsid w:val="001D66F1"/>
    <w:rsid w:val="001D7073"/>
    <w:rsid w:val="001D7504"/>
    <w:rsid w:val="00244285"/>
    <w:rsid w:val="00263FEB"/>
    <w:rsid w:val="00264B84"/>
    <w:rsid w:val="002964C6"/>
    <w:rsid w:val="002B3467"/>
    <w:rsid w:val="002E04E5"/>
    <w:rsid w:val="003709C0"/>
    <w:rsid w:val="00385C0F"/>
    <w:rsid w:val="003C0810"/>
    <w:rsid w:val="003D5244"/>
    <w:rsid w:val="00416B94"/>
    <w:rsid w:val="004213EE"/>
    <w:rsid w:val="00433366"/>
    <w:rsid w:val="0048161F"/>
    <w:rsid w:val="00484B4B"/>
    <w:rsid w:val="004A6990"/>
    <w:rsid w:val="004F6198"/>
    <w:rsid w:val="004F6527"/>
    <w:rsid w:val="004F700E"/>
    <w:rsid w:val="00540E7E"/>
    <w:rsid w:val="00550B7E"/>
    <w:rsid w:val="005616A4"/>
    <w:rsid w:val="0057010C"/>
    <w:rsid w:val="005956D0"/>
    <w:rsid w:val="005B1074"/>
    <w:rsid w:val="00602AB7"/>
    <w:rsid w:val="0063400E"/>
    <w:rsid w:val="00651E40"/>
    <w:rsid w:val="00671607"/>
    <w:rsid w:val="00676AF1"/>
    <w:rsid w:val="00695E99"/>
    <w:rsid w:val="006A11C9"/>
    <w:rsid w:val="006A38B3"/>
    <w:rsid w:val="006B37F8"/>
    <w:rsid w:val="006C0742"/>
    <w:rsid w:val="006D0F28"/>
    <w:rsid w:val="006E1094"/>
    <w:rsid w:val="007307E5"/>
    <w:rsid w:val="007342E8"/>
    <w:rsid w:val="007407F0"/>
    <w:rsid w:val="007600E0"/>
    <w:rsid w:val="007A01BD"/>
    <w:rsid w:val="007A36FF"/>
    <w:rsid w:val="007D7E8A"/>
    <w:rsid w:val="007E2638"/>
    <w:rsid w:val="007F4729"/>
    <w:rsid w:val="00817661"/>
    <w:rsid w:val="00837F5E"/>
    <w:rsid w:val="00875FAD"/>
    <w:rsid w:val="008943C8"/>
    <w:rsid w:val="00897940"/>
    <w:rsid w:val="008B26BF"/>
    <w:rsid w:val="008C5C4B"/>
    <w:rsid w:val="00953A44"/>
    <w:rsid w:val="009B07B1"/>
    <w:rsid w:val="009D10AC"/>
    <w:rsid w:val="009D7C0A"/>
    <w:rsid w:val="00A322B1"/>
    <w:rsid w:val="00A45756"/>
    <w:rsid w:val="00A559AA"/>
    <w:rsid w:val="00A67086"/>
    <w:rsid w:val="00B042B7"/>
    <w:rsid w:val="00B13342"/>
    <w:rsid w:val="00B3098B"/>
    <w:rsid w:val="00B44721"/>
    <w:rsid w:val="00B54CB8"/>
    <w:rsid w:val="00B6795A"/>
    <w:rsid w:val="00B86FA1"/>
    <w:rsid w:val="00B93257"/>
    <w:rsid w:val="00BA49DA"/>
    <w:rsid w:val="00BB7069"/>
    <w:rsid w:val="00BC2B30"/>
    <w:rsid w:val="00BC38D1"/>
    <w:rsid w:val="00BC4C27"/>
    <w:rsid w:val="00BD7889"/>
    <w:rsid w:val="00BE47B2"/>
    <w:rsid w:val="00BF02BF"/>
    <w:rsid w:val="00BF6E78"/>
    <w:rsid w:val="00C27BDF"/>
    <w:rsid w:val="00C45817"/>
    <w:rsid w:val="00C52A9E"/>
    <w:rsid w:val="00C75B51"/>
    <w:rsid w:val="00CA25F6"/>
    <w:rsid w:val="00CA7D51"/>
    <w:rsid w:val="00CD5957"/>
    <w:rsid w:val="00CE21FA"/>
    <w:rsid w:val="00D73864"/>
    <w:rsid w:val="00D806FD"/>
    <w:rsid w:val="00D915C8"/>
    <w:rsid w:val="00DC7465"/>
    <w:rsid w:val="00DF4FD3"/>
    <w:rsid w:val="00DF5EC5"/>
    <w:rsid w:val="00E12E19"/>
    <w:rsid w:val="00E15460"/>
    <w:rsid w:val="00E1684E"/>
    <w:rsid w:val="00E210B5"/>
    <w:rsid w:val="00E55C7C"/>
    <w:rsid w:val="00E6096A"/>
    <w:rsid w:val="00E64800"/>
    <w:rsid w:val="00E740A9"/>
    <w:rsid w:val="00EA0ADE"/>
    <w:rsid w:val="00F142F2"/>
    <w:rsid w:val="00F631C1"/>
    <w:rsid w:val="00F66480"/>
    <w:rsid w:val="00FB0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2B49E27A"/>
  <w15:docId w15:val="{4B3E79C2-3D9A-4821-AD49-225B149A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817"/>
    <w:pPr>
      <w:widowControl w:val="0"/>
      <w:jc w:val="both"/>
    </w:pPr>
    <w:rPr>
      <w:kern w:val="2"/>
      <w:sz w:val="21"/>
      <w:szCs w:val="24"/>
    </w:rPr>
  </w:style>
  <w:style w:type="paragraph" w:styleId="Heading1">
    <w:name w:val="heading 1"/>
    <w:basedOn w:val="Normal"/>
    <w:next w:val="Normal"/>
    <w:qFormat/>
    <w:rsid w:val="00C45817"/>
    <w:pPr>
      <w:keepNext/>
      <w:spacing w:line="280" w:lineRule="exact"/>
      <w:outlineLvl w:val="0"/>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45817"/>
    <w:rPr>
      <w:color w:val="0000FF"/>
      <w:u w:val="single"/>
    </w:rPr>
  </w:style>
  <w:style w:type="character" w:styleId="FollowedHyperlink">
    <w:name w:val="FollowedHyperlink"/>
    <w:basedOn w:val="DefaultParagraphFont"/>
    <w:rsid w:val="00C45817"/>
    <w:rPr>
      <w:color w:val="800080"/>
      <w:u w:val="single"/>
    </w:rPr>
  </w:style>
  <w:style w:type="paragraph" w:styleId="Header">
    <w:name w:val="header"/>
    <w:basedOn w:val="Normal"/>
    <w:rsid w:val="00C45817"/>
    <w:pPr>
      <w:tabs>
        <w:tab w:val="center" w:pos="4252"/>
        <w:tab w:val="right" w:pos="8504"/>
      </w:tabs>
      <w:snapToGrid w:val="0"/>
    </w:pPr>
  </w:style>
  <w:style w:type="character" w:customStyle="1" w:styleId="a">
    <w:name w:val="ヘッダー (文字)"/>
    <w:basedOn w:val="DefaultParagraphFont"/>
    <w:rsid w:val="00C45817"/>
    <w:rPr>
      <w:kern w:val="2"/>
      <w:sz w:val="21"/>
      <w:szCs w:val="24"/>
    </w:rPr>
  </w:style>
  <w:style w:type="paragraph" w:styleId="Footer">
    <w:name w:val="footer"/>
    <w:basedOn w:val="Normal"/>
    <w:rsid w:val="00C45817"/>
    <w:pPr>
      <w:tabs>
        <w:tab w:val="center" w:pos="4252"/>
        <w:tab w:val="right" w:pos="8504"/>
      </w:tabs>
      <w:snapToGrid w:val="0"/>
    </w:pPr>
  </w:style>
  <w:style w:type="character" w:customStyle="1" w:styleId="a0">
    <w:name w:val="フッター (文字)"/>
    <w:basedOn w:val="DefaultParagraphFont"/>
    <w:rsid w:val="00C45817"/>
    <w:rPr>
      <w:kern w:val="2"/>
      <w:sz w:val="21"/>
      <w:szCs w:val="24"/>
    </w:rPr>
  </w:style>
  <w:style w:type="paragraph" w:styleId="BalloonText">
    <w:name w:val="Balloon Text"/>
    <w:basedOn w:val="Normal"/>
    <w:link w:val="BalloonTextChar"/>
    <w:semiHidden/>
    <w:unhideWhenUsed/>
    <w:rsid w:val="00B86FA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B86FA1"/>
    <w:rPr>
      <w:rFonts w:asciiTheme="majorHAnsi" w:eastAsiaTheme="majorEastAsia" w:hAnsiTheme="majorHAnsi" w:cstheme="majorBidi"/>
      <w:kern w:val="2"/>
      <w:sz w:val="18"/>
      <w:szCs w:val="18"/>
    </w:rPr>
  </w:style>
  <w:style w:type="table" w:styleId="TableGrid">
    <w:name w:val="Table Grid"/>
    <w:basedOn w:val="TableNormal"/>
    <w:rsid w:val="00676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42B7"/>
    <w:rPr>
      <w:color w:val="808080"/>
    </w:rPr>
  </w:style>
  <w:style w:type="character" w:styleId="UnresolvedMention">
    <w:name w:val="Unresolved Mention"/>
    <w:basedOn w:val="DefaultParagraphFont"/>
    <w:uiPriority w:val="99"/>
    <w:semiHidden/>
    <w:unhideWhenUsed/>
    <w:rsid w:val="00C27BDF"/>
    <w:rPr>
      <w:color w:val="605E5C"/>
      <w:shd w:val="clear" w:color="auto" w:fill="E1DFDD"/>
    </w:rPr>
  </w:style>
  <w:style w:type="paragraph" w:styleId="Revision">
    <w:name w:val="Revision"/>
    <w:hidden/>
    <w:uiPriority w:val="99"/>
    <w:semiHidden/>
    <w:rsid w:val="00897940"/>
    <w:rPr>
      <w:kern w:val="2"/>
      <w:sz w:val="21"/>
      <w:szCs w:val="24"/>
    </w:rPr>
  </w:style>
  <w:style w:type="character" w:styleId="CommentReference">
    <w:name w:val="annotation reference"/>
    <w:basedOn w:val="DefaultParagraphFont"/>
    <w:semiHidden/>
    <w:unhideWhenUsed/>
    <w:rsid w:val="00897940"/>
    <w:rPr>
      <w:sz w:val="18"/>
      <w:szCs w:val="18"/>
    </w:rPr>
  </w:style>
  <w:style w:type="paragraph" w:styleId="CommentText">
    <w:name w:val="annotation text"/>
    <w:basedOn w:val="Normal"/>
    <w:link w:val="CommentTextChar"/>
    <w:semiHidden/>
    <w:unhideWhenUsed/>
    <w:rsid w:val="00897940"/>
    <w:pPr>
      <w:jc w:val="left"/>
    </w:pPr>
  </w:style>
  <w:style w:type="character" w:customStyle="1" w:styleId="CommentTextChar">
    <w:name w:val="Comment Text Char"/>
    <w:basedOn w:val="DefaultParagraphFont"/>
    <w:link w:val="CommentText"/>
    <w:semiHidden/>
    <w:rsid w:val="00897940"/>
    <w:rPr>
      <w:kern w:val="2"/>
      <w:sz w:val="21"/>
      <w:szCs w:val="24"/>
    </w:rPr>
  </w:style>
  <w:style w:type="paragraph" w:styleId="CommentSubject">
    <w:name w:val="annotation subject"/>
    <w:basedOn w:val="CommentText"/>
    <w:next w:val="CommentText"/>
    <w:link w:val="CommentSubjectChar"/>
    <w:semiHidden/>
    <w:unhideWhenUsed/>
    <w:rsid w:val="00897940"/>
    <w:rPr>
      <w:b/>
      <w:bCs/>
    </w:rPr>
  </w:style>
  <w:style w:type="character" w:customStyle="1" w:styleId="CommentSubjectChar">
    <w:name w:val="Comment Subject Char"/>
    <w:basedOn w:val="CommentTextChar"/>
    <w:link w:val="CommentSubject"/>
    <w:semiHidden/>
    <w:rsid w:val="0089794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517881">
      <w:bodyDiv w:val="1"/>
      <w:marLeft w:val="0"/>
      <w:marRight w:val="0"/>
      <w:marTop w:val="0"/>
      <w:marBottom w:val="0"/>
      <w:divBdr>
        <w:top w:val="none" w:sz="0" w:space="0" w:color="auto"/>
        <w:left w:val="none" w:sz="0" w:space="0" w:color="auto"/>
        <w:bottom w:val="none" w:sz="0" w:space="0" w:color="auto"/>
        <w:right w:val="none" w:sz="0" w:space="0" w:color="auto"/>
      </w:divBdr>
    </w:div>
    <w:div w:id="1549150839">
      <w:bodyDiv w:val="1"/>
      <w:marLeft w:val="0"/>
      <w:marRight w:val="0"/>
      <w:marTop w:val="0"/>
      <w:marBottom w:val="0"/>
      <w:divBdr>
        <w:top w:val="none" w:sz="0" w:space="0" w:color="auto"/>
        <w:left w:val="none" w:sz="0" w:space="0" w:color="auto"/>
        <w:bottom w:val="none" w:sz="0" w:space="0" w:color="auto"/>
        <w:right w:val="none" w:sz="0" w:space="0" w:color="auto"/>
      </w:divBdr>
    </w:div>
    <w:div w:id="188888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226</Words>
  <Characters>1359</Characters>
  <Application>Microsoft Office Word</Application>
  <DocSecurity>0</DocSecurity>
  <Lines>11</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How to prepare an extended abstract for QNN’1</vt:lpstr>
      <vt:lpstr>How to prepare an extended abstract for QNN’1</vt:lpstr>
    </vt:vector>
  </TitlesOfParts>
  <Company>ETL</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prepare an extended abstract for QNN’1</dc:title>
  <dc:creator>小倉睦郎</dc:creator>
  <cp:lastModifiedBy>EGUCHI Ryuto</cp:lastModifiedBy>
  <cp:revision>3</cp:revision>
  <cp:lastPrinted>2019-06-18T08:07:00Z</cp:lastPrinted>
  <dcterms:created xsi:type="dcterms:W3CDTF">2024-10-04T07:58:00Z</dcterms:created>
  <dcterms:modified xsi:type="dcterms:W3CDTF">2024-10-06T23:50:00Z</dcterms:modified>
</cp:coreProperties>
</file>